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59" w:rsidRDefault="00801159" w:rsidP="00801159">
      <w:pPr>
        <w:pStyle w:val="2"/>
        <w:jc w:val="center"/>
        <w:rPr>
          <w:rFonts w:ascii="黑体" w:eastAsia="黑体" w:hAnsi="黑体"/>
          <w:b w:val="0"/>
          <w:color w:val="000000"/>
        </w:rPr>
      </w:pPr>
      <w:bookmarkStart w:id="0" w:name="_Toc15377197"/>
      <w:bookmarkStart w:id="1" w:name="_Toc15396600"/>
      <w:r>
        <w:rPr>
          <w:rFonts w:ascii="黑体" w:eastAsia="黑体" w:hAnsi="黑体" w:hint="eastAsia"/>
          <w:b w:val="0"/>
          <w:color w:val="000000"/>
        </w:rPr>
        <w:t>开江县天师镇卫生院2019年部门决算分析报告</w:t>
      </w:r>
    </w:p>
    <w:p w:rsidR="00FC50E9" w:rsidRDefault="002F0395" w:rsidP="00801159">
      <w:pPr>
        <w:pStyle w:val="2"/>
        <w:ind w:firstLineChars="100" w:firstLine="320"/>
        <w:rPr>
          <w:rStyle w:val="2Char"/>
          <w:rFonts w:ascii="黑体" w:eastAsia="黑体" w:hAnsi="黑体"/>
        </w:rPr>
      </w:pPr>
      <w:r>
        <w:rPr>
          <w:rFonts w:ascii="黑体" w:eastAsia="黑体" w:hAnsi="黑体" w:hint="eastAsia"/>
          <w:b w:val="0"/>
          <w:color w:val="000000"/>
        </w:rPr>
        <w:t>一、基</w:t>
      </w:r>
      <w:r>
        <w:rPr>
          <w:rStyle w:val="2Char"/>
          <w:rFonts w:ascii="黑体" w:eastAsia="黑体" w:hAnsi="黑体" w:hint="eastAsia"/>
        </w:rPr>
        <w:t>本职能及主要工作</w:t>
      </w:r>
      <w:bookmarkEnd w:id="0"/>
      <w:bookmarkEnd w:id="1"/>
    </w:p>
    <w:p w:rsidR="00FC50E9" w:rsidRDefault="002F0395">
      <w:pPr>
        <w:widowControl/>
        <w:ind w:firstLineChars="200" w:firstLine="643"/>
        <w:jc w:val="left"/>
        <w:rPr>
          <w:rFonts w:ascii="仿宋" w:eastAsia="仿宋" w:hAnsi="仿宋"/>
          <w:b/>
          <w:bCs/>
          <w:color w:val="000000"/>
          <w:sz w:val="32"/>
          <w:szCs w:val="32"/>
        </w:rPr>
      </w:pPr>
      <w:r>
        <w:rPr>
          <w:rFonts w:ascii="仿宋" w:eastAsia="仿宋" w:hAnsi="仿宋" w:hint="eastAsia"/>
          <w:b/>
          <w:bCs/>
          <w:color w:val="000000"/>
          <w:sz w:val="32"/>
          <w:szCs w:val="32"/>
        </w:rPr>
        <w:t>（一）基本情况。</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1．主要职能。</w:t>
      </w:r>
    </w:p>
    <w:p w:rsidR="00FC50E9" w:rsidRDefault="002F0395" w:rsidP="003A2572">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开江县天师镇卫生院担负着天师镇及周边地区1.4万余人口的身体健康提供医疗与预防保健服务、基本公共卫生服务、基本药物制度等项工作。</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2．机构情况，包括当年变动情况及原因。</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纳入2019年部门决算编报的单位共1个，事业单位管理。机构数量无增减变动。</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3．人员情况，包括当年变动情况及原因。</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开江县天师镇卫生院2019年定编人数10</w:t>
      </w:r>
      <w:bookmarkStart w:id="2" w:name="_GoBack"/>
      <w:bookmarkEnd w:id="2"/>
      <w:r>
        <w:rPr>
          <w:rFonts w:ascii="仿宋" w:eastAsia="仿宋" w:hAnsi="仿宋" w:hint="eastAsia"/>
          <w:color w:val="000000"/>
          <w:sz w:val="32"/>
          <w:szCs w:val="32"/>
        </w:rPr>
        <w:t>人，目前在职人数14人，与上年对比无变化。</w:t>
      </w:r>
    </w:p>
    <w:p w:rsidR="00FC50E9" w:rsidRDefault="002F0395">
      <w:pPr>
        <w:widowControl/>
        <w:ind w:firstLineChars="200" w:firstLine="643"/>
        <w:jc w:val="left"/>
        <w:rPr>
          <w:rFonts w:ascii="仿宋" w:eastAsia="仿宋" w:hAnsi="仿宋"/>
          <w:b/>
          <w:bCs/>
          <w:color w:val="000000"/>
          <w:sz w:val="32"/>
          <w:szCs w:val="32"/>
        </w:rPr>
      </w:pPr>
      <w:r>
        <w:rPr>
          <w:rFonts w:ascii="仿宋" w:eastAsia="仿宋" w:hAnsi="仿宋" w:hint="eastAsia"/>
          <w:b/>
          <w:bCs/>
          <w:color w:val="000000"/>
          <w:sz w:val="32"/>
          <w:szCs w:val="32"/>
        </w:rPr>
        <w:t>（二）当年取得的主要事业成效。</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本院2019年门急诊就诊人数11079人次，住院病人1266人次，治愈、好转率92%，病床使用率90.07%。本年责任医疗事故发生数0。</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本单位在上级主管部门的领导下，进行了一系列的医疗服务，特别是基本公共卫生服务、药品零差率方面取得了较好的成绩，深受患者人口。</w:t>
      </w:r>
    </w:p>
    <w:p w:rsidR="00FC50E9" w:rsidRDefault="002F0395">
      <w:pPr>
        <w:widowControl/>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二、收入支出预算执行情况分析</w:t>
      </w:r>
    </w:p>
    <w:p w:rsidR="00FC50E9" w:rsidRDefault="002F0395">
      <w:pPr>
        <w:widowControl/>
        <w:ind w:firstLineChars="200" w:firstLine="643"/>
        <w:jc w:val="left"/>
        <w:rPr>
          <w:rFonts w:ascii="仿宋" w:eastAsia="仿宋" w:hAnsi="仿宋"/>
          <w:b/>
          <w:bCs/>
          <w:color w:val="000000"/>
          <w:sz w:val="32"/>
          <w:szCs w:val="32"/>
        </w:rPr>
      </w:pPr>
      <w:r>
        <w:rPr>
          <w:rFonts w:ascii="仿宋" w:eastAsia="仿宋" w:hAnsi="仿宋" w:hint="eastAsia"/>
          <w:b/>
          <w:bCs/>
          <w:color w:val="000000"/>
          <w:sz w:val="32"/>
          <w:szCs w:val="32"/>
        </w:rPr>
        <w:lastRenderedPageBreak/>
        <w:t>（一）收入支出预算安排情况。</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包括部门（单位）收入、支出年初预算安排情况，与上年对比情况及增减变动原因，年度执行中调整情况，调整原因说明。</w:t>
      </w:r>
    </w:p>
    <w:tbl>
      <w:tblPr>
        <w:tblW w:w="0" w:type="auto"/>
        <w:tblCellSpacing w:w="0" w:type="dxa"/>
        <w:tblInd w:w="15" w:type="dxa"/>
        <w:tblBorders>
          <w:bottom w:val="single" w:sz="6" w:space="0" w:color="555555"/>
          <w:right w:val="single" w:sz="6" w:space="0" w:color="555555"/>
        </w:tblBorders>
        <w:shd w:val="clear" w:color="auto" w:fill="FFFFFF"/>
        <w:tblCellMar>
          <w:left w:w="0" w:type="dxa"/>
          <w:right w:w="0" w:type="dxa"/>
        </w:tblCellMar>
        <w:tblLook w:val="04A0"/>
      </w:tblPr>
      <w:tblGrid>
        <w:gridCol w:w="1915"/>
        <w:gridCol w:w="1915"/>
        <w:gridCol w:w="1115"/>
        <w:gridCol w:w="1275"/>
        <w:gridCol w:w="2401"/>
      </w:tblGrid>
      <w:tr w:rsidR="00FC50E9">
        <w:trPr>
          <w:tblCellSpacing w:w="0" w:type="dxa"/>
        </w:trPr>
        <w:tc>
          <w:tcPr>
            <w:tcW w:w="8865" w:type="dxa"/>
            <w:gridSpan w:val="5"/>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收入、支出年初预算上下年对比（单位：万元）</w:t>
            </w:r>
          </w:p>
        </w:tc>
      </w:tr>
      <w:tr w:rsidR="00FC50E9">
        <w:trPr>
          <w:tblCellSpacing w:w="0" w:type="dxa"/>
        </w:trPr>
        <w:tc>
          <w:tcPr>
            <w:tcW w:w="114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上年年初预算数</w:t>
            </w:r>
          </w:p>
        </w:tc>
        <w:tc>
          <w:tcPr>
            <w:tcW w:w="114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本年年初预算数</w:t>
            </w:r>
          </w:p>
        </w:tc>
        <w:tc>
          <w:tcPr>
            <w:tcW w:w="109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差异</w:t>
            </w:r>
          </w:p>
        </w:tc>
        <w:tc>
          <w:tcPr>
            <w:tcW w:w="124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差异比</w:t>
            </w:r>
          </w:p>
        </w:tc>
        <w:tc>
          <w:tcPr>
            <w:tcW w:w="424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说明</w:t>
            </w:r>
          </w:p>
        </w:tc>
      </w:tr>
      <w:tr w:rsidR="00FC50E9">
        <w:trPr>
          <w:tblCellSpacing w:w="0" w:type="dxa"/>
        </w:trPr>
        <w:tc>
          <w:tcPr>
            <w:tcW w:w="114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cs="仿宋" w:hint="eastAsia"/>
                <w:sz w:val="32"/>
                <w:szCs w:val="32"/>
              </w:rPr>
              <w:t>172.7</w:t>
            </w:r>
          </w:p>
        </w:tc>
        <w:tc>
          <w:tcPr>
            <w:tcW w:w="114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sz w:val="32"/>
                <w:szCs w:val="32"/>
              </w:rPr>
              <w:t>292.5</w:t>
            </w:r>
          </w:p>
        </w:tc>
        <w:tc>
          <w:tcPr>
            <w:tcW w:w="109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119.8</w:t>
            </w:r>
          </w:p>
        </w:tc>
        <w:tc>
          <w:tcPr>
            <w:tcW w:w="124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40.95%</w:t>
            </w:r>
          </w:p>
        </w:tc>
        <w:tc>
          <w:tcPr>
            <w:tcW w:w="424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事业收入增加</w:t>
            </w:r>
          </w:p>
        </w:tc>
      </w:tr>
      <w:tr w:rsidR="00FC50E9">
        <w:trPr>
          <w:tblCellSpacing w:w="0" w:type="dxa"/>
        </w:trPr>
        <w:tc>
          <w:tcPr>
            <w:tcW w:w="8865" w:type="dxa"/>
            <w:gridSpan w:val="5"/>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收入、支出年初预算与调整预算数对比（单位：万元）</w:t>
            </w:r>
          </w:p>
        </w:tc>
      </w:tr>
      <w:tr w:rsidR="00FC50E9">
        <w:trPr>
          <w:tblCellSpacing w:w="0" w:type="dxa"/>
        </w:trPr>
        <w:tc>
          <w:tcPr>
            <w:tcW w:w="114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年初预    算数</w:t>
            </w:r>
          </w:p>
        </w:tc>
        <w:tc>
          <w:tcPr>
            <w:tcW w:w="114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调整预    算数</w:t>
            </w:r>
          </w:p>
        </w:tc>
        <w:tc>
          <w:tcPr>
            <w:tcW w:w="109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差异</w:t>
            </w:r>
          </w:p>
        </w:tc>
        <w:tc>
          <w:tcPr>
            <w:tcW w:w="5475" w:type="dxa"/>
            <w:gridSpan w:val="2"/>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说明</w:t>
            </w:r>
          </w:p>
        </w:tc>
      </w:tr>
      <w:tr w:rsidR="00FC50E9">
        <w:trPr>
          <w:tblCellSpacing w:w="0" w:type="dxa"/>
        </w:trPr>
        <w:tc>
          <w:tcPr>
            <w:tcW w:w="114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292.5</w:t>
            </w:r>
          </w:p>
        </w:tc>
        <w:tc>
          <w:tcPr>
            <w:tcW w:w="114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cs="仿宋" w:hint="eastAsia"/>
                <w:sz w:val="32"/>
                <w:szCs w:val="32"/>
              </w:rPr>
              <w:t>464.6</w:t>
            </w:r>
          </w:p>
        </w:tc>
        <w:tc>
          <w:tcPr>
            <w:tcW w:w="109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172.1</w:t>
            </w:r>
          </w:p>
        </w:tc>
        <w:tc>
          <w:tcPr>
            <w:tcW w:w="5475" w:type="dxa"/>
            <w:gridSpan w:val="2"/>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事业收入增加</w:t>
            </w:r>
          </w:p>
        </w:tc>
      </w:tr>
    </w:tbl>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（二）收入支出预算执行情况。</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当年收入支出预算执行基本情况，与上年度对比情况，包括增减绝对值与幅度，增减变动主要原因(可用柱形图或折线图)。</w:t>
      </w:r>
    </w:p>
    <w:p w:rsidR="00FC50E9" w:rsidRDefault="002F0395">
      <w:pPr>
        <w:widowControl/>
        <w:jc w:val="left"/>
        <w:rPr>
          <w:rFonts w:ascii="仿宋" w:eastAsia="仿宋" w:hAnsi="仿宋"/>
          <w:color w:val="000000"/>
          <w:sz w:val="32"/>
          <w:szCs w:val="32"/>
        </w:rPr>
      </w:pPr>
      <w:r>
        <w:rPr>
          <w:rFonts w:ascii="仿宋" w:eastAsia="仿宋" w:hAnsi="仿宋" w:hint="eastAsia"/>
          <w:noProof/>
          <w:color w:val="000000"/>
          <w:sz w:val="32"/>
          <w:szCs w:val="32"/>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lastRenderedPageBreak/>
        <w:t>收入支出变动的原因为药品费用支出增加及职工工资及社会保障缴费增加。</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1．收入支出与预算对比分析。</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（1）预、决算差异情况，可分收入支出功能科目、分单位、分收入支出具体项目逐项对比（可列表）。</w:t>
      </w:r>
    </w:p>
    <w:tbl>
      <w:tblPr>
        <w:tblW w:w="0" w:type="auto"/>
        <w:tblCellSpacing w:w="0" w:type="dxa"/>
        <w:tblInd w:w="15" w:type="dxa"/>
        <w:tblBorders>
          <w:bottom w:val="single" w:sz="6" w:space="0" w:color="555555"/>
          <w:right w:val="single" w:sz="6" w:space="0" w:color="555555"/>
        </w:tblBorders>
        <w:shd w:val="clear" w:color="auto" w:fill="FFFFFF"/>
        <w:tblCellMar>
          <w:left w:w="0" w:type="dxa"/>
          <w:right w:w="0" w:type="dxa"/>
        </w:tblCellMar>
        <w:tblLook w:val="04A0"/>
      </w:tblPr>
      <w:tblGrid>
        <w:gridCol w:w="644"/>
        <w:gridCol w:w="859"/>
        <w:gridCol w:w="2235"/>
        <w:gridCol w:w="2555"/>
        <w:gridCol w:w="1275"/>
        <w:gridCol w:w="1053"/>
      </w:tblGrid>
      <w:tr w:rsidR="00FC50E9">
        <w:trPr>
          <w:tblCellSpacing w:w="0" w:type="dxa"/>
        </w:trPr>
        <w:tc>
          <w:tcPr>
            <w:tcW w:w="8520" w:type="dxa"/>
            <w:gridSpan w:val="6"/>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预、决算差异情况对比（单位：万元）</w:t>
            </w:r>
          </w:p>
        </w:tc>
      </w:tr>
      <w:tr w:rsidR="00FC50E9">
        <w:trPr>
          <w:tblCellSpacing w:w="0" w:type="dxa"/>
        </w:trPr>
        <w:tc>
          <w:tcPr>
            <w:tcW w:w="2670" w:type="dxa"/>
            <w:gridSpan w:val="2"/>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项目</w:t>
            </w:r>
          </w:p>
        </w:tc>
        <w:tc>
          <w:tcPr>
            <w:tcW w:w="103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年初     预算数</w:t>
            </w:r>
          </w:p>
        </w:tc>
        <w:tc>
          <w:tcPr>
            <w:tcW w:w="75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本年      决算数</w:t>
            </w:r>
          </w:p>
        </w:tc>
        <w:tc>
          <w:tcPr>
            <w:tcW w:w="99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差异额</w:t>
            </w:r>
          </w:p>
        </w:tc>
        <w:tc>
          <w:tcPr>
            <w:tcW w:w="270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说明</w:t>
            </w:r>
          </w:p>
        </w:tc>
      </w:tr>
      <w:tr w:rsidR="00FC50E9">
        <w:trPr>
          <w:tblCellSpacing w:w="0" w:type="dxa"/>
        </w:trPr>
        <w:tc>
          <w:tcPr>
            <w:tcW w:w="690" w:type="dxa"/>
            <w:vMerge w:val="restart"/>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收入</w:t>
            </w:r>
          </w:p>
        </w:tc>
        <w:tc>
          <w:tcPr>
            <w:tcW w:w="198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财政拨款收入</w:t>
            </w:r>
          </w:p>
        </w:tc>
        <w:tc>
          <w:tcPr>
            <w:tcW w:w="103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62.5</w:t>
            </w:r>
          </w:p>
        </w:tc>
        <w:tc>
          <w:tcPr>
            <w:tcW w:w="75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165.78</w:t>
            </w:r>
          </w:p>
        </w:tc>
        <w:tc>
          <w:tcPr>
            <w:tcW w:w="99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103.28</w:t>
            </w:r>
          </w:p>
        </w:tc>
        <w:tc>
          <w:tcPr>
            <w:tcW w:w="270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追加基本药物补助及基本公共卫生服务项目经费</w:t>
            </w:r>
          </w:p>
        </w:tc>
      </w:tr>
      <w:tr w:rsidR="00FC50E9">
        <w:trPr>
          <w:tblCellSpacing w:w="0" w:type="dxa"/>
        </w:trPr>
        <w:tc>
          <w:tcPr>
            <w:tcW w:w="690" w:type="dxa"/>
            <w:vMerge/>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FC50E9">
            <w:pPr>
              <w:widowControl/>
              <w:jc w:val="left"/>
              <w:rPr>
                <w:rFonts w:ascii="仿宋" w:eastAsia="仿宋" w:hAnsi="仿宋"/>
                <w:color w:val="000000"/>
                <w:sz w:val="32"/>
                <w:szCs w:val="32"/>
              </w:rPr>
            </w:pPr>
          </w:p>
        </w:tc>
        <w:tc>
          <w:tcPr>
            <w:tcW w:w="198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事业收入</w:t>
            </w:r>
          </w:p>
        </w:tc>
        <w:tc>
          <w:tcPr>
            <w:tcW w:w="103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230</w:t>
            </w:r>
          </w:p>
        </w:tc>
        <w:tc>
          <w:tcPr>
            <w:tcW w:w="75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298.8</w:t>
            </w:r>
          </w:p>
        </w:tc>
        <w:tc>
          <w:tcPr>
            <w:tcW w:w="99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68.8</w:t>
            </w:r>
          </w:p>
        </w:tc>
        <w:tc>
          <w:tcPr>
            <w:tcW w:w="270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业务收入增加</w:t>
            </w:r>
          </w:p>
        </w:tc>
      </w:tr>
      <w:tr w:rsidR="00FC50E9">
        <w:trPr>
          <w:tblCellSpacing w:w="0" w:type="dxa"/>
        </w:trPr>
        <w:tc>
          <w:tcPr>
            <w:tcW w:w="690" w:type="dxa"/>
            <w:vMerge w:val="restart"/>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支出</w:t>
            </w:r>
          </w:p>
        </w:tc>
        <w:tc>
          <w:tcPr>
            <w:tcW w:w="198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人员经费</w:t>
            </w:r>
          </w:p>
        </w:tc>
        <w:tc>
          <w:tcPr>
            <w:tcW w:w="103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62.5</w:t>
            </w:r>
          </w:p>
        </w:tc>
        <w:tc>
          <w:tcPr>
            <w:tcW w:w="75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81.8</w:t>
            </w:r>
          </w:p>
        </w:tc>
        <w:tc>
          <w:tcPr>
            <w:tcW w:w="99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19.3</w:t>
            </w:r>
          </w:p>
        </w:tc>
        <w:tc>
          <w:tcPr>
            <w:tcW w:w="270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人员经费及社会保障缴费增加</w:t>
            </w:r>
          </w:p>
        </w:tc>
      </w:tr>
      <w:tr w:rsidR="00FC50E9">
        <w:trPr>
          <w:tblCellSpacing w:w="0" w:type="dxa"/>
        </w:trPr>
        <w:tc>
          <w:tcPr>
            <w:tcW w:w="690" w:type="dxa"/>
            <w:vMerge/>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FC50E9">
            <w:pPr>
              <w:widowControl/>
              <w:jc w:val="left"/>
              <w:rPr>
                <w:rFonts w:ascii="仿宋" w:eastAsia="仿宋" w:hAnsi="仿宋"/>
                <w:color w:val="000000"/>
                <w:sz w:val="32"/>
                <w:szCs w:val="32"/>
              </w:rPr>
            </w:pPr>
          </w:p>
        </w:tc>
        <w:tc>
          <w:tcPr>
            <w:tcW w:w="198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日常公用经费</w:t>
            </w:r>
          </w:p>
        </w:tc>
        <w:tc>
          <w:tcPr>
            <w:tcW w:w="103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230</w:t>
            </w:r>
          </w:p>
        </w:tc>
        <w:tc>
          <w:tcPr>
            <w:tcW w:w="75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305</w:t>
            </w:r>
          </w:p>
        </w:tc>
        <w:tc>
          <w:tcPr>
            <w:tcW w:w="99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75</w:t>
            </w:r>
          </w:p>
        </w:tc>
        <w:tc>
          <w:tcPr>
            <w:tcW w:w="270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专用材料费增加</w:t>
            </w:r>
          </w:p>
        </w:tc>
      </w:tr>
      <w:tr w:rsidR="00FC50E9">
        <w:trPr>
          <w:tblCellSpacing w:w="0" w:type="dxa"/>
        </w:trPr>
        <w:tc>
          <w:tcPr>
            <w:tcW w:w="690" w:type="dxa"/>
            <w:vMerge/>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FC50E9">
            <w:pPr>
              <w:widowControl/>
              <w:jc w:val="left"/>
              <w:rPr>
                <w:rFonts w:ascii="仿宋" w:eastAsia="仿宋" w:hAnsi="仿宋"/>
                <w:color w:val="000000"/>
                <w:sz w:val="32"/>
                <w:szCs w:val="32"/>
              </w:rPr>
            </w:pPr>
          </w:p>
        </w:tc>
        <w:tc>
          <w:tcPr>
            <w:tcW w:w="198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项目支</w:t>
            </w:r>
            <w:r>
              <w:rPr>
                <w:rFonts w:ascii="仿宋" w:eastAsia="仿宋" w:hAnsi="仿宋" w:hint="eastAsia"/>
                <w:color w:val="000000"/>
                <w:sz w:val="32"/>
                <w:szCs w:val="32"/>
              </w:rPr>
              <w:lastRenderedPageBreak/>
              <w:t>出</w:t>
            </w:r>
          </w:p>
        </w:tc>
        <w:tc>
          <w:tcPr>
            <w:tcW w:w="103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FC50E9">
            <w:pPr>
              <w:widowControl/>
              <w:jc w:val="left"/>
              <w:rPr>
                <w:rFonts w:ascii="仿宋" w:eastAsia="仿宋" w:hAnsi="仿宋"/>
                <w:color w:val="000000"/>
                <w:sz w:val="32"/>
                <w:szCs w:val="32"/>
              </w:rPr>
            </w:pPr>
          </w:p>
        </w:tc>
        <w:tc>
          <w:tcPr>
            <w:tcW w:w="75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77.78</w:t>
            </w:r>
          </w:p>
        </w:tc>
        <w:tc>
          <w:tcPr>
            <w:tcW w:w="99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77.78</w:t>
            </w:r>
          </w:p>
        </w:tc>
        <w:tc>
          <w:tcPr>
            <w:tcW w:w="270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追加基本公共</w:t>
            </w:r>
            <w:r>
              <w:rPr>
                <w:rFonts w:ascii="仿宋" w:eastAsia="仿宋" w:hAnsi="仿宋" w:hint="eastAsia"/>
                <w:color w:val="000000"/>
                <w:sz w:val="32"/>
                <w:szCs w:val="32"/>
              </w:rPr>
              <w:lastRenderedPageBreak/>
              <w:t>卫生服务项目经费</w:t>
            </w:r>
          </w:p>
        </w:tc>
      </w:tr>
    </w:tbl>
    <w:p w:rsidR="00FC50E9" w:rsidRDefault="002F0395">
      <w:pPr>
        <w:widowControl/>
        <w:ind w:firstLineChars="100" w:firstLine="320"/>
        <w:jc w:val="left"/>
        <w:rPr>
          <w:rFonts w:ascii="仿宋" w:eastAsia="仿宋" w:hAnsi="仿宋"/>
          <w:color w:val="000000"/>
          <w:sz w:val="32"/>
          <w:szCs w:val="32"/>
        </w:rPr>
      </w:pPr>
      <w:r>
        <w:rPr>
          <w:rFonts w:ascii="仿宋" w:eastAsia="仿宋" w:hAnsi="仿宋" w:hint="eastAsia"/>
          <w:color w:val="000000"/>
          <w:sz w:val="32"/>
          <w:szCs w:val="32"/>
        </w:rPr>
        <w:lastRenderedPageBreak/>
        <w:t>（2）差异原因分析。差异较大的应分析到具体收入支出功能科目和具体单位。</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差异原因为事业收入增加68.8万元，财政追加基本药物补助经费及公共卫生服务经费103.28万元，其中追加基本公共卫生服务项目经费77.78万元。</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2．收入支出结构分析。</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（1）各项收入占总收入的比重，各项支出占总支出的比重（可分别制作饼状图）。</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财政拨款收入165.7848万元占比重35.68%，事业收入298.8225万元占收入比重64.32%。按资金来源财政拨款支出165.7848万元占支出比重35.68%，其他支出298.8225万元占支出比重64.32%。</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按支出性质基本支出386.8247万元占支出比重83.26%，项目支出77.7826万元占比重16.74%，按支出经济分类工资福利占支出比重16.95%，商品和服务占比82.39%，对个人和家庭的补助占比0.66%。</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3．支出按经济分类科目分析。</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（1）“三公”经费支出情况：可进行上下年对比、预决算对比，人均支出情况分析（可做表、柱图、折线图）。</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本年预决算无“三公”经费支出，跟上年无变化。</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（2）会议费支出情况：可进行上下年对比、预决算对比，人均支出情况分析（可做表、柱图、折线图）。</w:t>
      </w:r>
    </w:p>
    <w:tbl>
      <w:tblPr>
        <w:tblW w:w="0" w:type="auto"/>
        <w:tblCellSpacing w:w="0" w:type="dxa"/>
        <w:tblInd w:w="15" w:type="dxa"/>
        <w:tblBorders>
          <w:bottom w:val="single" w:sz="6" w:space="0" w:color="555555"/>
          <w:right w:val="single" w:sz="6" w:space="0" w:color="555555"/>
        </w:tblBorders>
        <w:shd w:val="clear" w:color="auto" w:fill="FFFFFF"/>
        <w:tblCellMar>
          <w:left w:w="0" w:type="dxa"/>
          <w:right w:w="0" w:type="dxa"/>
        </w:tblCellMar>
        <w:tblLook w:val="04A0"/>
      </w:tblPr>
      <w:tblGrid>
        <w:gridCol w:w="1178"/>
        <w:gridCol w:w="2398"/>
        <w:gridCol w:w="2398"/>
        <w:gridCol w:w="1220"/>
        <w:gridCol w:w="1427"/>
      </w:tblGrid>
      <w:tr w:rsidR="00FC50E9">
        <w:trPr>
          <w:tblCellSpacing w:w="0" w:type="dxa"/>
        </w:trPr>
        <w:tc>
          <w:tcPr>
            <w:tcW w:w="8621" w:type="dxa"/>
            <w:gridSpan w:val="5"/>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会议费支出情况（万元）</w:t>
            </w:r>
          </w:p>
        </w:tc>
      </w:tr>
      <w:tr w:rsidR="00FC50E9">
        <w:trPr>
          <w:tblCellSpacing w:w="0" w:type="dxa"/>
        </w:trPr>
        <w:tc>
          <w:tcPr>
            <w:tcW w:w="1178" w:type="dxa"/>
            <w:vMerge w:val="restart"/>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项目</w:t>
            </w:r>
          </w:p>
        </w:tc>
        <w:tc>
          <w:tcPr>
            <w:tcW w:w="7443" w:type="dxa"/>
            <w:gridSpan w:val="4"/>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与上年对比</w:t>
            </w:r>
          </w:p>
        </w:tc>
      </w:tr>
      <w:tr w:rsidR="00FC50E9">
        <w:trPr>
          <w:tblCellSpacing w:w="0" w:type="dxa"/>
        </w:trPr>
        <w:tc>
          <w:tcPr>
            <w:tcW w:w="1178" w:type="dxa"/>
            <w:vMerge/>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FC50E9">
            <w:pPr>
              <w:widowControl/>
              <w:jc w:val="left"/>
              <w:rPr>
                <w:rFonts w:ascii="仿宋" w:eastAsia="仿宋" w:hAnsi="仿宋"/>
                <w:color w:val="000000"/>
                <w:sz w:val="32"/>
                <w:szCs w:val="32"/>
              </w:rPr>
            </w:pPr>
          </w:p>
        </w:tc>
        <w:tc>
          <w:tcPr>
            <w:tcW w:w="2398"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2018年实际数</w:t>
            </w:r>
          </w:p>
        </w:tc>
        <w:tc>
          <w:tcPr>
            <w:tcW w:w="2398"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2019年实际数</w:t>
            </w:r>
          </w:p>
        </w:tc>
        <w:tc>
          <w:tcPr>
            <w:tcW w:w="122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增减额</w:t>
            </w:r>
          </w:p>
        </w:tc>
        <w:tc>
          <w:tcPr>
            <w:tcW w:w="1427"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增加比%</w:t>
            </w:r>
          </w:p>
        </w:tc>
      </w:tr>
      <w:tr w:rsidR="00FC50E9">
        <w:trPr>
          <w:tblCellSpacing w:w="0" w:type="dxa"/>
        </w:trPr>
        <w:tc>
          <w:tcPr>
            <w:tcW w:w="1178"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会议费</w:t>
            </w:r>
          </w:p>
        </w:tc>
        <w:tc>
          <w:tcPr>
            <w:tcW w:w="2398"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2.16</w:t>
            </w:r>
          </w:p>
        </w:tc>
        <w:tc>
          <w:tcPr>
            <w:tcW w:w="2398"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2.05</w:t>
            </w:r>
          </w:p>
        </w:tc>
        <w:tc>
          <w:tcPr>
            <w:tcW w:w="122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-0.11</w:t>
            </w:r>
          </w:p>
        </w:tc>
        <w:tc>
          <w:tcPr>
            <w:tcW w:w="1427"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-5.37%</w:t>
            </w:r>
          </w:p>
        </w:tc>
      </w:tr>
    </w:tbl>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（3）培训费支出情况：可进行上下年对比、预决算对比，人均支出情况分析（可做表、柱图、折线图）。</w:t>
      </w:r>
    </w:p>
    <w:tbl>
      <w:tblPr>
        <w:tblW w:w="0" w:type="auto"/>
        <w:tblCellSpacing w:w="0" w:type="dxa"/>
        <w:tblInd w:w="15" w:type="dxa"/>
        <w:tblBorders>
          <w:bottom w:val="single" w:sz="6" w:space="0" w:color="555555"/>
          <w:right w:val="single" w:sz="6" w:space="0" w:color="555555"/>
        </w:tblBorders>
        <w:shd w:val="clear" w:color="auto" w:fill="FFFFFF"/>
        <w:tblCellMar>
          <w:left w:w="0" w:type="dxa"/>
          <w:right w:w="0" w:type="dxa"/>
        </w:tblCellMar>
        <w:tblLook w:val="04A0"/>
      </w:tblPr>
      <w:tblGrid>
        <w:gridCol w:w="1184"/>
        <w:gridCol w:w="2383"/>
        <w:gridCol w:w="2383"/>
        <w:gridCol w:w="1221"/>
        <w:gridCol w:w="1450"/>
      </w:tblGrid>
      <w:tr w:rsidR="00FC50E9">
        <w:trPr>
          <w:tblCellSpacing w:w="0" w:type="dxa"/>
        </w:trPr>
        <w:tc>
          <w:tcPr>
            <w:tcW w:w="8895" w:type="dxa"/>
            <w:gridSpan w:val="5"/>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培训费支出情况（万元）</w:t>
            </w:r>
          </w:p>
        </w:tc>
      </w:tr>
      <w:tr w:rsidR="00FC50E9">
        <w:trPr>
          <w:tblCellSpacing w:w="0" w:type="dxa"/>
        </w:trPr>
        <w:tc>
          <w:tcPr>
            <w:tcW w:w="1230" w:type="dxa"/>
            <w:vMerge w:val="restart"/>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项目</w:t>
            </w:r>
          </w:p>
        </w:tc>
        <w:tc>
          <w:tcPr>
            <w:tcW w:w="7680" w:type="dxa"/>
            <w:gridSpan w:val="4"/>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与上年对比</w:t>
            </w:r>
          </w:p>
        </w:tc>
      </w:tr>
      <w:tr w:rsidR="00FC50E9">
        <w:trPr>
          <w:tblCellSpacing w:w="0" w:type="dxa"/>
        </w:trPr>
        <w:tc>
          <w:tcPr>
            <w:tcW w:w="1230" w:type="dxa"/>
            <w:vMerge/>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FC50E9">
            <w:pPr>
              <w:widowControl/>
              <w:jc w:val="left"/>
              <w:rPr>
                <w:rFonts w:ascii="仿宋" w:eastAsia="仿宋" w:hAnsi="仿宋"/>
                <w:color w:val="000000"/>
                <w:sz w:val="32"/>
                <w:szCs w:val="32"/>
              </w:rPr>
            </w:pPr>
          </w:p>
        </w:tc>
        <w:tc>
          <w:tcPr>
            <w:tcW w:w="250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2018年实际数</w:t>
            </w:r>
          </w:p>
        </w:tc>
        <w:tc>
          <w:tcPr>
            <w:tcW w:w="250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2019年实际数</w:t>
            </w:r>
          </w:p>
        </w:tc>
        <w:tc>
          <w:tcPr>
            <w:tcW w:w="123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增减额</w:t>
            </w:r>
          </w:p>
        </w:tc>
        <w:tc>
          <w:tcPr>
            <w:tcW w:w="142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增加比%</w:t>
            </w:r>
          </w:p>
        </w:tc>
      </w:tr>
      <w:tr w:rsidR="00FC50E9">
        <w:trPr>
          <w:tblCellSpacing w:w="0" w:type="dxa"/>
        </w:trPr>
        <w:tc>
          <w:tcPr>
            <w:tcW w:w="123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培训</w:t>
            </w:r>
            <w:r>
              <w:rPr>
                <w:rFonts w:ascii="仿宋" w:eastAsia="仿宋" w:hAnsi="仿宋" w:hint="eastAsia"/>
                <w:color w:val="000000"/>
                <w:sz w:val="32"/>
                <w:szCs w:val="32"/>
              </w:rPr>
              <w:lastRenderedPageBreak/>
              <w:t>费</w:t>
            </w:r>
          </w:p>
        </w:tc>
        <w:tc>
          <w:tcPr>
            <w:tcW w:w="250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lastRenderedPageBreak/>
              <w:t>3.34</w:t>
            </w:r>
          </w:p>
        </w:tc>
        <w:tc>
          <w:tcPr>
            <w:tcW w:w="250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2.91</w:t>
            </w:r>
          </w:p>
        </w:tc>
        <w:tc>
          <w:tcPr>
            <w:tcW w:w="1230"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-0.43</w:t>
            </w:r>
          </w:p>
        </w:tc>
        <w:tc>
          <w:tcPr>
            <w:tcW w:w="1425" w:type="dxa"/>
            <w:tcBorders>
              <w:top w:val="single" w:sz="6" w:space="0" w:color="555555"/>
              <w:left w:val="single" w:sz="6" w:space="0" w:color="555555"/>
            </w:tcBorders>
            <w:shd w:val="clear" w:color="auto" w:fill="FFFFFF"/>
            <w:tcMar>
              <w:top w:w="150" w:type="dxa"/>
              <w:left w:w="150" w:type="dxa"/>
              <w:bottom w:w="150" w:type="dxa"/>
              <w:right w:w="150" w:type="dxa"/>
            </w:tcMar>
            <w:vAlign w:val="center"/>
          </w:tcPr>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-14.78%</w:t>
            </w:r>
          </w:p>
        </w:tc>
      </w:tr>
    </w:tbl>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（4）其他对部门（单位）影响较大的支出情况。</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无</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（5）重点经济分类支出中存在的问题及改进措施。</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无</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4.财政拨款收入、支出分析。分析财政拨款收入、支出总体情况，支出要按照基本支出和项目支出分析具体构成及特点。</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2019年财政拨款收入165.78万元。</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2019年财政拨款支出165.78万元，其中：基本支出88万元，项目支出77.78万元。</w:t>
      </w:r>
    </w:p>
    <w:p w:rsidR="00FC50E9" w:rsidRDefault="002F0395">
      <w:pPr>
        <w:widowControl/>
        <w:ind w:firstLineChars="200" w:firstLine="643"/>
        <w:jc w:val="left"/>
        <w:rPr>
          <w:rFonts w:ascii="仿宋" w:eastAsia="仿宋" w:hAnsi="仿宋"/>
          <w:b/>
          <w:bCs/>
          <w:color w:val="000000"/>
          <w:sz w:val="32"/>
          <w:szCs w:val="32"/>
        </w:rPr>
      </w:pPr>
      <w:r>
        <w:rPr>
          <w:rFonts w:ascii="仿宋" w:eastAsia="仿宋" w:hAnsi="仿宋" w:hint="eastAsia"/>
          <w:b/>
          <w:bCs/>
          <w:color w:val="000000"/>
          <w:sz w:val="32"/>
          <w:szCs w:val="32"/>
        </w:rPr>
        <w:t>（三）年末结转和结余情况。</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1．分资金来源、资金性质结转和结余情况，特别是项目经费结转和结余情况。</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无</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2．分单位结转和结余情况。</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无</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3．结转和结余规模较大的原因分析及消化结转和结余的对策。</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（四）当年预算执行中存在问题、原因及改进措施。</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无</w:t>
      </w:r>
    </w:p>
    <w:p w:rsidR="00FC50E9" w:rsidRDefault="002F0395">
      <w:pPr>
        <w:widowControl/>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lastRenderedPageBreak/>
        <w:t>三、资产负债情况分析</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年末部门（单位）资产、负债基本情况，与上年度对比情况，包括增减绝对值与幅度，增减变动主要原因(可用柱形图或折线图)。</w:t>
      </w:r>
    </w:p>
    <w:p w:rsidR="00FC50E9" w:rsidRDefault="002F0395">
      <w:pPr>
        <w:widowControl/>
        <w:ind w:firstLineChars="200" w:firstLine="643"/>
        <w:jc w:val="left"/>
        <w:rPr>
          <w:rFonts w:ascii="仿宋" w:eastAsia="仿宋" w:hAnsi="仿宋"/>
          <w:b/>
          <w:bCs/>
          <w:color w:val="000000"/>
          <w:sz w:val="32"/>
          <w:szCs w:val="32"/>
        </w:rPr>
      </w:pPr>
      <w:r>
        <w:rPr>
          <w:rFonts w:ascii="仿宋" w:eastAsia="仿宋" w:hAnsi="仿宋" w:hint="eastAsia"/>
          <w:b/>
          <w:bCs/>
          <w:color w:val="000000"/>
          <w:sz w:val="32"/>
          <w:szCs w:val="32"/>
        </w:rPr>
        <w:t>（一）资产负债结构情况。</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对资产负债具体构成进行分析，可从占比、上下年变动等方面进行分析（可用饼图、柱图或折线图），重点说明主要资产、负债基本情况、变动情况及原因。</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本年度本部门总资产195.67万元，银行存款37.22万元，固定资产净值10.44万元，应付款类82.45万元，应收账款类70.14万元。银行存款较上年增加17.3万元，主要是医疗存款。固定资产较上年减少22.1万元，主要是设备折旧和报损，应付款类较上年增加11.21万元，主要是应付药品款增加，应收账款类较上年增加8.89元，主要是应收医疗款增加。</w:t>
      </w:r>
    </w:p>
    <w:p w:rsidR="00FC50E9" w:rsidRDefault="002F0395">
      <w:pPr>
        <w:widowControl/>
        <w:ind w:firstLineChars="200" w:firstLine="643"/>
        <w:jc w:val="left"/>
        <w:rPr>
          <w:rFonts w:ascii="仿宋" w:eastAsia="仿宋" w:hAnsi="仿宋"/>
          <w:b/>
          <w:bCs/>
          <w:color w:val="000000"/>
          <w:sz w:val="32"/>
          <w:szCs w:val="32"/>
        </w:rPr>
      </w:pPr>
      <w:r>
        <w:rPr>
          <w:rFonts w:ascii="仿宋" w:eastAsia="仿宋" w:hAnsi="仿宋" w:hint="eastAsia"/>
          <w:b/>
          <w:bCs/>
          <w:color w:val="000000"/>
          <w:sz w:val="32"/>
          <w:szCs w:val="32"/>
        </w:rPr>
        <w:t>（二）资产负债对比分析。</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计算资产负债率，可进行连续年度的对比，分析部门资产负债管理中存在的问题，加强资产效益管理，避免潜在的资产负债风险。</w:t>
      </w:r>
    </w:p>
    <w:p w:rsidR="00FC50E9" w:rsidRDefault="002F0395">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本年资产负债率49.07%，上年资产负债率71.54%，差异22.47%。</w:t>
      </w:r>
    </w:p>
    <w:p w:rsidR="00FC50E9" w:rsidRDefault="002F0395">
      <w:pPr>
        <w:widowControl/>
        <w:jc w:val="left"/>
        <w:rPr>
          <w:rFonts w:ascii="黑体" w:eastAsia="黑体" w:hAnsi="黑体" w:cs="黑体"/>
          <w:color w:val="000000"/>
          <w:sz w:val="32"/>
          <w:szCs w:val="32"/>
        </w:rPr>
      </w:pPr>
      <w:r>
        <w:rPr>
          <w:rFonts w:ascii="黑体" w:eastAsia="黑体" w:hAnsi="黑体" w:cs="黑体" w:hint="eastAsia"/>
          <w:color w:val="000000"/>
          <w:sz w:val="32"/>
          <w:szCs w:val="32"/>
        </w:rPr>
        <w:t>四、本年度部门决算等财务工作开展情况</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lastRenderedPageBreak/>
        <w:t>（一）本部门（单位）财务管理、决算组织、编报、审核情况。</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认真开展相关工作，组织人员对上报的部门决算数据进行审核。</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（二）本部门（单位）决算公开工作、主管部门对所属单位按规定批复决算工作开展情况。</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根据财政部门的工作安排开展工作，按照规定批复预决算工作。</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（三）对部门（单位）决算管理及报表设计的意见建议。</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无</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（四）对加强部门决算数据分析利用工作的建议。</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无</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 </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附件：1.开江县天师镇卫生院2019年部门决算编制说明</w:t>
      </w:r>
    </w:p>
    <w:p w:rsidR="00FC50E9" w:rsidRDefault="002F0395">
      <w:pPr>
        <w:widowControl/>
        <w:jc w:val="left"/>
        <w:rPr>
          <w:rFonts w:ascii="仿宋" w:eastAsia="仿宋" w:hAnsi="仿宋"/>
          <w:color w:val="000000"/>
          <w:sz w:val="32"/>
          <w:szCs w:val="32"/>
        </w:rPr>
      </w:pPr>
      <w:r>
        <w:rPr>
          <w:rFonts w:ascii="仿宋" w:eastAsia="仿宋" w:hAnsi="仿宋" w:hint="eastAsia"/>
          <w:color w:val="000000"/>
          <w:sz w:val="32"/>
          <w:szCs w:val="32"/>
        </w:rPr>
        <w:t>           2.四川省达州市开江县天师镇卫生院（2019年决算公开表）</w:t>
      </w:r>
    </w:p>
    <w:p w:rsidR="00FC50E9" w:rsidRDefault="00FC50E9">
      <w:pPr>
        <w:widowControl/>
        <w:jc w:val="left"/>
        <w:rPr>
          <w:rFonts w:ascii="仿宋" w:eastAsia="仿宋" w:hAnsi="仿宋"/>
          <w:color w:val="000000"/>
          <w:sz w:val="32"/>
          <w:szCs w:val="32"/>
        </w:rPr>
      </w:pPr>
    </w:p>
    <w:p w:rsidR="00FC50E9" w:rsidRDefault="002F0395">
      <w:pPr>
        <w:widowControl/>
        <w:ind w:firstLineChars="1300" w:firstLine="4160"/>
        <w:jc w:val="left"/>
        <w:rPr>
          <w:rFonts w:ascii="仿宋" w:eastAsia="仿宋" w:hAnsi="仿宋"/>
          <w:color w:val="000000"/>
          <w:sz w:val="32"/>
          <w:szCs w:val="32"/>
        </w:rPr>
      </w:pPr>
      <w:r>
        <w:rPr>
          <w:rFonts w:ascii="仿宋" w:eastAsia="仿宋" w:hAnsi="仿宋" w:hint="eastAsia"/>
          <w:color w:val="000000"/>
          <w:sz w:val="32"/>
          <w:szCs w:val="32"/>
        </w:rPr>
        <w:t>开江县天师镇卫生院</w:t>
      </w:r>
    </w:p>
    <w:p w:rsidR="00FC50E9" w:rsidRDefault="002F0395">
      <w:pPr>
        <w:widowControl/>
        <w:ind w:firstLineChars="1500" w:firstLine="4800"/>
        <w:jc w:val="left"/>
        <w:rPr>
          <w:rFonts w:ascii="仿宋" w:eastAsia="仿宋" w:hAnsi="仿宋"/>
          <w:color w:val="000000"/>
          <w:sz w:val="32"/>
          <w:szCs w:val="32"/>
        </w:rPr>
      </w:pPr>
      <w:r>
        <w:rPr>
          <w:rFonts w:ascii="仿宋" w:eastAsia="仿宋" w:hAnsi="仿宋" w:hint="eastAsia"/>
          <w:color w:val="000000"/>
          <w:sz w:val="32"/>
          <w:szCs w:val="32"/>
        </w:rPr>
        <w:t>2020年9月1日</w:t>
      </w:r>
    </w:p>
    <w:p w:rsidR="00FC50E9" w:rsidRDefault="00FC50E9">
      <w:pPr>
        <w:widowControl/>
        <w:jc w:val="left"/>
        <w:rPr>
          <w:rFonts w:ascii="仿宋" w:eastAsia="仿宋" w:hAnsi="仿宋"/>
          <w:color w:val="000000"/>
          <w:sz w:val="32"/>
          <w:szCs w:val="32"/>
        </w:rPr>
      </w:pPr>
    </w:p>
    <w:p w:rsidR="00FC50E9" w:rsidRDefault="00FC50E9">
      <w:pPr>
        <w:widowControl/>
        <w:jc w:val="left"/>
        <w:rPr>
          <w:rFonts w:ascii="仿宋" w:eastAsia="仿宋" w:hAnsi="仿宋"/>
          <w:color w:val="000000" w:themeColor="text1"/>
        </w:rPr>
      </w:pPr>
    </w:p>
    <w:sectPr w:rsidR="00FC50E9" w:rsidSect="00FC50E9">
      <w:headerReference w:type="default" r:id="rId9"/>
      <w:footerReference w:type="default" r:id="rId10"/>
      <w:pgSz w:w="11906" w:h="16838"/>
      <w:pgMar w:top="1440" w:right="1800" w:bottom="1440" w:left="1800"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BF" w:rsidRDefault="00F63CBF" w:rsidP="00FC50E9">
      <w:r>
        <w:separator/>
      </w:r>
    </w:p>
  </w:endnote>
  <w:endnote w:type="continuationSeparator" w:id="0">
    <w:p w:rsidR="00F63CBF" w:rsidRDefault="00F63CBF" w:rsidP="00FC5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E9" w:rsidRDefault="000A034E">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58240;mso-wrap-style:none;mso-position-horizontal:outside;mso-position-horizontal-relative:margin" filled="f" stroked="f">
          <v:textbox style="mso-fit-shape-to-text:t" inset="0,0,0,0">
            <w:txbxContent>
              <w:sdt>
                <w:sdtPr>
                  <w:id w:val="-1994781956"/>
                </w:sdtPr>
                <w:sdtContent>
                  <w:p w:rsidR="00FC50E9" w:rsidRDefault="000A034E">
                    <w:pPr>
                      <w:pStyle w:val="a5"/>
                      <w:jc w:val="center"/>
                    </w:pPr>
                    <w:r>
                      <w:rPr>
                        <w:rFonts w:ascii="仿宋" w:eastAsia="仿宋" w:hAnsi="仿宋" w:cs="仿宋" w:hint="eastAsia"/>
                        <w:sz w:val="28"/>
                        <w:szCs w:val="28"/>
                      </w:rPr>
                      <w:fldChar w:fldCharType="begin"/>
                    </w:r>
                    <w:r w:rsidR="002F0395">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3A2572" w:rsidRPr="003A2572">
                      <w:rPr>
                        <w:rFonts w:ascii="仿宋" w:eastAsia="仿宋" w:hAnsi="仿宋" w:cs="仿宋"/>
                        <w:noProof/>
                        <w:sz w:val="28"/>
                        <w:szCs w:val="28"/>
                        <w:lang w:val="zh-CN"/>
                      </w:rPr>
                      <w:t>-</w:t>
                    </w:r>
                    <w:r w:rsidR="003A2572">
                      <w:rPr>
                        <w:rFonts w:ascii="仿宋" w:eastAsia="仿宋" w:hAnsi="仿宋" w:cs="仿宋"/>
                        <w:noProof/>
                        <w:sz w:val="28"/>
                        <w:szCs w:val="28"/>
                      </w:rPr>
                      <w:t xml:space="preserve"> 2 -</w:t>
                    </w:r>
                    <w:r>
                      <w:rPr>
                        <w:rFonts w:ascii="仿宋" w:eastAsia="仿宋" w:hAnsi="仿宋" w:cs="仿宋" w:hint="eastAsia"/>
                        <w:sz w:val="28"/>
                        <w:szCs w:val="28"/>
                      </w:rPr>
                      <w:fldChar w:fldCharType="end"/>
                    </w:r>
                  </w:p>
                </w:sdtContent>
              </w:sdt>
              <w:p w:rsidR="00FC50E9" w:rsidRDefault="00FC50E9"/>
            </w:txbxContent>
          </v:textbox>
          <w10:wrap anchorx="margin"/>
        </v:shape>
      </w:pict>
    </w:r>
  </w:p>
  <w:p w:rsidR="00FC50E9" w:rsidRDefault="00FC50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BF" w:rsidRDefault="00F63CBF" w:rsidP="00FC50E9">
      <w:r>
        <w:separator/>
      </w:r>
    </w:p>
  </w:footnote>
  <w:footnote w:type="continuationSeparator" w:id="0">
    <w:p w:rsidR="00F63CBF" w:rsidRDefault="00F63CBF" w:rsidP="00FC5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E9" w:rsidRDefault="00FC50E9">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61C"/>
    <w:rsid w:val="000222C6"/>
    <w:rsid w:val="0002549F"/>
    <w:rsid w:val="000468DB"/>
    <w:rsid w:val="0006487A"/>
    <w:rsid w:val="00065F8F"/>
    <w:rsid w:val="00070A43"/>
    <w:rsid w:val="000768F2"/>
    <w:rsid w:val="0009184B"/>
    <w:rsid w:val="00094236"/>
    <w:rsid w:val="0009593C"/>
    <w:rsid w:val="00097322"/>
    <w:rsid w:val="000A034E"/>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0395"/>
    <w:rsid w:val="002F1818"/>
    <w:rsid w:val="002F567B"/>
    <w:rsid w:val="003216A9"/>
    <w:rsid w:val="00335A74"/>
    <w:rsid w:val="0036561B"/>
    <w:rsid w:val="0037013F"/>
    <w:rsid w:val="00380C92"/>
    <w:rsid w:val="003A257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01159"/>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3CBF"/>
    <w:rsid w:val="00F754A1"/>
    <w:rsid w:val="00F81FD9"/>
    <w:rsid w:val="00F841AA"/>
    <w:rsid w:val="00F84A94"/>
    <w:rsid w:val="00F87E96"/>
    <w:rsid w:val="00FA23E8"/>
    <w:rsid w:val="00FC50E9"/>
    <w:rsid w:val="00FD3CC1"/>
    <w:rsid w:val="00FF1E02"/>
    <w:rsid w:val="00FF30B4"/>
    <w:rsid w:val="067479D9"/>
    <w:rsid w:val="0FBD2C87"/>
    <w:rsid w:val="10C055FF"/>
    <w:rsid w:val="13205410"/>
    <w:rsid w:val="16BB723D"/>
    <w:rsid w:val="19845C2D"/>
    <w:rsid w:val="1E48312A"/>
    <w:rsid w:val="240371BF"/>
    <w:rsid w:val="29FD04D3"/>
    <w:rsid w:val="31292C4A"/>
    <w:rsid w:val="319F7F4E"/>
    <w:rsid w:val="32CD3BD0"/>
    <w:rsid w:val="3975196A"/>
    <w:rsid w:val="3B073482"/>
    <w:rsid w:val="472F68F9"/>
    <w:rsid w:val="4A5D58A6"/>
    <w:rsid w:val="4ECE2238"/>
    <w:rsid w:val="518E2A24"/>
    <w:rsid w:val="536619A2"/>
    <w:rsid w:val="5E300CE9"/>
    <w:rsid w:val="5F8E3AD5"/>
    <w:rsid w:val="62163652"/>
    <w:rsid w:val="6B8B110F"/>
    <w:rsid w:val="6EF22589"/>
    <w:rsid w:val="72734D90"/>
    <w:rsid w:val="760A1BD5"/>
    <w:rsid w:val="764D0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9"/>
    <w:pPr>
      <w:widowControl w:val="0"/>
      <w:jc w:val="both"/>
    </w:pPr>
    <w:rPr>
      <w:kern w:val="2"/>
      <w:sz w:val="21"/>
      <w:szCs w:val="24"/>
    </w:rPr>
  </w:style>
  <w:style w:type="paragraph" w:styleId="1">
    <w:name w:val="heading 1"/>
    <w:basedOn w:val="a"/>
    <w:next w:val="a"/>
    <w:link w:val="1Char"/>
    <w:uiPriority w:val="9"/>
    <w:qFormat/>
    <w:rsid w:val="00FC50E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C50E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C50E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FC50E9"/>
    <w:pPr>
      <w:spacing w:beforeLines="30"/>
    </w:pPr>
    <w:rPr>
      <w:rFonts w:ascii="仿宋_GB2312" w:eastAsia="仿宋_GB2312"/>
      <w:kern w:val="0"/>
      <w:sz w:val="30"/>
    </w:rPr>
  </w:style>
  <w:style w:type="paragraph" w:styleId="30">
    <w:name w:val="toc 3"/>
    <w:basedOn w:val="a"/>
    <w:next w:val="a"/>
    <w:uiPriority w:val="39"/>
    <w:unhideWhenUsed/>
    <w:qFormat/>
    <w:rsid w:val="00FC50E9"/>
    <w:pPr>
      <w:tabs>
        <w:tab w:val="right" w:leader="dot" w:pos="8296"/>
      </w:tabs>
      <w:ind w:leftChars="400" w:left="840"/>
    </w:pPr>
  </w:style>
  <w:style w:type="paragraph" w:styleId="a4">
    <w:name w:val="Balloon Text"/>
    <w:basedOn w:val="a"/>
    <w:link w:val="Char0"/>
    <w:uiPriority w:val="99"/>
    <w:semiHidden/>
    <w:unhideWhenUsed/>
    <w:qFormat/>
    <w:rsid w:val="00FC50E9"/>
    <w:rPr>
      <w:sz w:val="18"/>
      <w:szCs w:val="18"/>
    </w:rPr>
  </w:style>
  <w:style w:type="paragraph" w:styleId="a5">
    <w:name w:val="footer"/>
    <w:basedOn w:val="a"/>
    <w:link w:val="Char1"/>
    <w:uiPriority w:val="99"/>
    <w:qFormat/>
    <w:rsid w:val="00FC50E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C50E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C50E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C50E9"/>
    <w:pPr>
      <w:tabs>
        <w:tab w:val="right" w:leader="dot" w:pos="8296"/>
      </w:tabs>
      <w:ind w:leftChars="200" w:left="420"/>
    </w:pPr>
  </w:style>
  <w:style w:type="paragraph" w:styleId="a7">
    <w:name w:val="Normal (Web)"/>
    <w:basedOn w:val="a"/>
    <w:qFormat/>
    <w:rsid w:val="00FC50E9"/>
    <w:pPr>
      <w:spacing w:beforeAutospacing="1" w:afterAutospacing="1"/>
      <w:jc w:val="left"/>
    </w:pPr>
    <w:rPr>
      <w:kern w:val="0"/>
      <w:sz w:val="24"/>
    </w:rPr>
  </w:style>
  <w:style w:type="character" w:styleId="a8">
    <w:name w:val="Strong"/>
    <w:basedOn w:val="a0"/>
    <w:uiPriority w:val="99"/>
    <w:qFormat/>
    <w:rsid w:val="00FC50E9"/>
    <w:rPr>
      <w:b/>
    </w:rPr>
  </w:style>
  <w:style w:type="character" w:styleId="a9">
    <w:name w:val="Hyperlink"/>
    <w:basedOn w:val="a0"/>
    <w:uiPriority w:val="99"/>
    <w:unhideWhenUsed/>
    <w:qFormat/>
    <w:rsid w:val="00FC50E9"/>
    <w:rPr>
      <w:color w:val="0000FF" w:themeColor="hyperlink"/>
      <w:u w:val="single"/>
    </w:rPr>
  </w:style>
  <w:style w:type="character" w:customStyle="1" w:styleId="HeaderChar">
    <w:name w:val="Header Char"/>
    <w:basedOn w:val="a0"/>
    <w:uiPriority w:val="99"/>
    <w:semiHidden/>
    <w:qFormat/>
    <w:rsid w:val="00FC50E9"/>
    <w:rPr>
      <w:rFonts w:ascii="Times New Roman" w:hAnsi="Times New Roman"/>
      <w:sz w:val="18"/>
      <w:szCs w:val="18"/>
    </w:rPr>
  </w:style>
  <w:style w:type="character" w:customStyle="1" w:styleId="Char2">
    <w:name w:val="页眉 Char"/>
    <w:link w:val="a6"/>
    <w:uiPriority w:val="99"/>
    <w:semiHidden/>
    <w:qFormat/>
    <w:locked/>
    <w:rsid w:val="00FC50E9"/>
    <w:rPr>
      <w:sz w:val="18"/>
    </w:rPr>
  </w:style>
  <w:style w:type="character" w:customStyle="1" w:styleId="FooterChar">
    <w:name w:val="Footer Char"/>
    <w:basedOn w:val="a0"/>
    <w:uiPriority w:val="99"/>
    <w:semiHidden/>
    <w:qFormat/>
    <w:rsid w:val="00FC50E9"/>
    <w:rPr>
      <w:rFonts w:ascii="Times New Roman" w:hAnsi="Times New Roman"/>
      <w:sz w:val="18"/>
      <w:szCs w:val="18"/>
    </w:rPr>
  </w:style>
  <w:style w:type="character" w:customStyle="1" w:styleId="Char1">
    <w:name w:val="页脚 Char"/>
    <w:link w:val="a5"/>
    <w:uiPriority w:val="99"/>
    <w:qFormat/>
    <w:locked/>
    <w:rsid w:val="00FC50E9"/>
    <w:rPr>
      <w:sz w:val="18"/>
    </w:rPr>
  </w:style>
  <w:style w:type="character" w:customStyle="1" w:styleId="BodyTextChar">
    <w:name w:val="Body Text Char"/>
    <w:basedOn w:val="a0"/>
    <w:uiPriority w:val="99"/>
    <w:semiHidden/>
    <w:qFormat/>
    <w:rsid w:val="00FC50E9"/>
    <w:rPr>
      <w:rFonts w:ascii="Times New Roman" w:hAnsi="Times New Roman"/>
      <w:szCs w:val="24"/>
    </w:rPr>
  </w:style>
  <w:style w:type="character" w:customStyle="1" w:styleId="Char">
    <w:name w:val="正文文本 Char"/>
    <w:link w:val="a3"/>
    <w:uiPriority w:val="99"/>
    <w:qFormat/>
    <w:locked/>
    <w:rsid w:val="00FC50E9"/>
    <w:rPr>
      <w:rFonts w:ascii="仿宋_GB2312" w:eastAsia="仿宋_GB2312" w:hAnsi="Times New Roman"/>
      <w:sz w:val="24"/>
    </w:rPr>
  </w:style>
  <w:style w:type="paragraph" w:customStyle="1" w:styleId="Default">
    <w:name w:val="Default"/>
    <w:uiPriority w:val="99"/>
    <w:rsid w:val="00FC50E9"/>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FC50E9"/>
    <w:pPr>
      <w:ind w:firstLineChars="200" w:firstLine="420"/>
    </w:pPr>
  </w:style>
  <w:style w:type="character" w:customStyle="1" w:styleId="1Char">
    <w:name w:val="标题 1 Char"/>
    <w:basedOn w:val="a0"/>
    <w:link w:val="1"/>
    <w:uiPriority w:val="9"/>
    <w:qFormat/>
    <w:rsid w:val="00FC50E9"/>
    <w:rPr>
      <w:rFonts w:ascii="Times New Roman" w:hAnsi="Times New Roman"/>
      <w:b/>
      <w:bCs/>
      <w:kern w:val="44"/>
      <w:sz w:val="44"/>
      <w:szCs w:val="44"/>
    </w:rPr>
  </w:style>
  <w:style w:type="character" w:customStyle="1" w:styleId="2Char">
    <w:name w:val="标题 2 Char"/>
    <w:basedOn w:val="a0"/>
    <w:link w:val="2"/>
    <w:uiPriority w:val="9"/>
    <w:qFormat/>
    <w:rsid w:val="00FC50E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C50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FC50E9"/>
    <w:rPr>
      <w:rFonts w:ascii="Times New Roman" w:hAnsi="Times New Roman"/>
      <w:kern w:val="2"/>
      <w:sz w:val="18"/>
      <w:szCs w:val="18"/>
    </w:rPr>
  </w:style>
  <w:style w:type="character" w:customStyle="1" w:styleId="3Char">
    <w:name w:val="标题 3 Char"/>
    <w:basedOn w:val="a0"/>
    <w:link w:val="3"/>
    <w:uiPriority w:val="9"/>
    <w:qFormat/>
    <w:rsid w:val="00FC50E9"/>
    <w:rPr>
      <w:rFonts w:ascii="Times New Roman" w:hAnsi="Times New Roman"/>
      <w:b/>
      <w:bCs/>
      <w:kern w:val="2"/>
      <w:sz w:val="32"/>
      <w:szCs w:val="32"/>
    </w:rPr>
  </w:style>
  <w:style w:type="paragraph" w:customStyle="1" w:styleId="TOC2">
    <w:name w:val="TOC 标题2"/>
    <w:basedOn w:val="1"/>
    <w:next w:val="a"/>
    <w:uiPriority w:val="39"/>
    <w:unhideWhenUsed/>
    <w:qFormat/>
    <w:rsid w:val="00FC50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D94C7E-4D51-4F24-A86E-E61FFFB4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416</Words>
  <Characters>2373</Characters>
  <Application>Microsoft Office Word</Application>
  <DocSecurity>0</DocSecurity>
  <Lines>19</Lines>
  <Paragraphs>5</Paragraphs>
  <ScaleCrop>false</ScaleCrop>
  <Company>四川省财政厅</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40</cp:revision>
  <cp:lastPrinted>2020-09-29T08:49:00Z</cp:lastPrinted>
  <dcterms:created xsi:type="dcterms:W3CDTF">2020-08-04T01:49:00Z</dcterms:created>
  <dcterms:modified xsi:type="dcterms:W3CDTF">2020-09-30T06:45:00Z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