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  <w:lang w:val="en-US" w:eastAsia="zh-CN"/>
        </w:rPr>
        <w:t>开江县疾病预防控制中心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2"/>
        <w:jc w:val="center"/>
        <w:textAlignment w:val="auto"/>
        <w:rPr>
          <w:rFonts w:hint="eastAsia" w:ascii="仿宋_GB2312" w:hAnsi="微软雅黑" w:eastAsia="仿宋_GB2312"/>
          <w:b/>
          <w:color w:val="55555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</w:rPr>
        <w:t>年部门预算编制说明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按照预算管理有关规定，部门预算编报内容包括预算单位的全部收支情况。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一、单位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开江县疾病预防控制中心是政府举办的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val="en-US" w:eastAsia="zh-CN"/>
        </w:rPr>
        <w:t>疾病预防控制与公共卫生技术管理和服务的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公益性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事业单位，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疾病预防控制与应急、监测检验与评价、技术管理与服务、健康促进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等职能。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内设办公室、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党办、财务科、疾控科、性艾科、卫生科、后勤科、结防所、检验科、慢病科、免疫规划科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个职能科室。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二、收支预算总体情况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年财政一般收入预算总额为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1109.32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万元。一般收入预算总额较201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收入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38.14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万元，主要原因是人员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退休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年财政支出预算总额为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1109.32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万元，其中：工资和福利支出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548.41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万元，商品和服务支出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31.5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万元，项目支出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529.14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万元。支出预算总额较201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38.14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万元，主要原因是人员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退休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预算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38.14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三、财政拨款支出预算情况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财政拨款支出主要用于保障部机关正常运转、全县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疾病预防控制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等工作的开展。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基本支出，是用于保障机关正常运转的日常支出，包括基本工资、津贴补贴等人员经费以及办公费、印刷费、水电费、办公设备购置等日常公用经费。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项目支出，是用于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药品及疫苗等专用材料费、公务用车运行维护费及卫生防疫津贴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等方面。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按支出功能分类主要用于以下方面: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（一）一般公共服务支出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580.18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万元，主要用于部机关及事业单位等工资福利支出（含基本工资、绩效津补贴、社会保障费等）、商品和服务支出（含办公费、印刷费、差旅费、公务接待等）。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（二）项目支出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529.14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万元，用于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药品、疫苗款、公务用车运行维护、卫生防疫津贴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等经费。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四、运行经费情况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仿宋_GB2312" w:cs="方正仿宋简体"/>
          <w:color w:val="555555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运行经费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31.5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万元，主要用于用于201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年机关办公费、印刷费、差旅费等经费。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五、财政拨款“三公”经费情况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（一）因公出国（境）经费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年因公出国（境）费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（二）公务接待费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年公务接待费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万元,较201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0.5万元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（三）公务用车购置及运行维护费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年公务用车购置及运行维护费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7.5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万元，其中：公务用车购置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万元、运行维护费预算数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7.5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 xml:space="preserve">万元,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主要用于保障全县疾病预防控制等工作所需的公务用车燃料费、维修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保养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费、过路过桥费支出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六、政府采购安排情况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年初预算未安排政府采购。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七、国有资产占用情况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我单位房屋类资产共计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平方米，价值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602.39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万元，车辆共计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辆，价值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70.68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八、绩效目标情况说明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我单位重点项目预算有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项目，共计资金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万元，绩效目标为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全县艾滋病防治工作县级配套经费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80万元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</w:rPr>
        <w:t>名词注解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1．地方一般公共预算收入。即地方公共财政收入，是指实施分税制财政体制改革后，各级财政部门依法组织纳入本地区（或本级）预算管理的各项收入，包括税收收入和非税收入。其中：税收收入主要包括增值税、企业所得税、个人所得税、资源税等；非税收入主要包括纳入预算管理的专项收入、行政事业性收费收入、罚没收入、国有资源（资产）有偿使用收入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2．地方一般公共预算支出。即地方公共财政支出，是指通过地方一般公共预算收入统筹安排的相关支出。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3．三公经费。指因公出国（境）费、公务接待费、公务用车购置及运行维护费。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20" w:firstLineChars="200"/>
        <w:textAlignment w:val="auto"/>
        <w:rPr>
          <w:rFonts w:hint="eastAsia" w:ascii="微软雅黑" w:hAnsi="微软雅黑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76AE"/>
    <w:rsid w:val="381F7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2019-04-29T00:24:00Z</dcterms:created>
  <dc:creator>小胖</dc:creator>
  <cp:lastModifiedBy>小胖</cp:lastModifiedBy>
  <dcterms:modified xsi:type="dcterms:W3CDTF">2019-04-29T00:41:49Z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