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outlineLvl w:val="1"/>
        <w:rPr>
          <w:rStyle w:val="6"/>
          <w:rFonts w:ascii="黑体" w:hAnsi="黑体" w:eastAsia="黑体"/>
          <w:b w:val="0"/>
        </w:rPr>
      </w:pPr>
      <w:r>
        <w:rPr>
          <w:rStyle w:val="6"/>
          <w:rFonts w:hint="eastAsia" w:ascii="黑体" w:hAnsi="黑体" w:eastAsia="黑体"/>
          <w:lang w:eastAsia="zh-CN"/>
        </w:rPr>
        <w:t>新宁四小</w:t>
      </w:r>
      <w:r>
        <w:rPr>
          <w:rStyle w:val="6"/>
          <w:rFonts w:hint="eastAsia" w:ascii="黑体" w:hAnsi="黑体" w:eastAsia="黑体"/>
        </w:rPr>
        <w:t>“</w:t>
      </w:r>
      <w:r>
        <w:rPr>
          <w:rStyle w:val="6"/>
          <w:rFonts w:hint="eastAsia" w:ascii="黑体" w:hAnsi="黑体" w:eastAsia="黑体"/>
          <w:b w:val="0"/>
        </w:rPr>
        <w:t>三公”经费财政拨款支出决算情况说明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0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0.365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1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年度“三公”经费财政拨款支出决算中，因公出国（境）费支出决算0万元；公务用车购置及运行维护费支出决算0万元；公务接待费支出决算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0.365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万元，占100%。具体情况如下：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130810</wp:posOffset>
            </wp:positionV>
            <wp:extent cx="4596130" cy="2761615"/>
            <wp:effectExtent l="0" t="0" r="13970" b="63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图8：“三公”经费财政拨款支出结构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0.365</w:t>
      </w:r>
      <w:bookmarkStart w:id="2" w:name="_GoBack"/>
      <w:bookmarkEnd w:id="2"/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1A5C"/>
    <w:rsid w:val="0C1A1B24"/>
    <w:rsid w:val="131A6802"/>
    <w:rsid w:val="1BA41A5C"/>
    <w:rsid w:val="6C2A2A50"/>
    <w:rsid w:val="76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2019-09-25T09:18:00Z</dcterms:created>
  <dc:creator>Administrator</dc:creator>
  <cp:lastModifiedBy>Administrator</cp:lastModifiedBy>
  <dcterms:modified xsi:type="dcterms:W3CDTF">2020-10-20T05:53:12Z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