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6" w:beforeLines="100"/>
        <w:ind w:firstLine="320" w:firstLineChars="100"/>
        <w:jc w:val="left"/>
        <w:textAlignment w:val="auto"/>
        <w:rPr>
          <w:rFonts w:hint="default" w:ascii="Times New Roman" w:hAnsi="Times New Roman" w:eastAsia="黑体" w:cs="Times New Roman"/>
          <w:bCs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Cs/>
          <w:w w:val="100"/>
          <w:kern w:val="2"/>
          <w:sz w:val="32"/>
          <w:szCs w:val="32"/>
          <w:lang w:val="en-US" w:eastAsia="zh-CN" w:bidi="ar-SA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w w:val="100"/>
          <w:kern w:val="2"/>
          <w:sz w:val="44"/>
          <w:szCs w:val="44"/>
          <w:lang w:val="en-US" w:eastAsia="zh-CN" w:bidi="ar-SA"/>
        </w:rPr>
        <w:t>重大隐患明细表</w:t>
      </w:r>
    </w:p>
    <w:bookmarkEnd w:id="0"/>
    <w:p>
      <w:pPr>
        <w:pStyle w:val="2"/>
        <w:ind w:firstLine="960" w:firstLineChars="300"/>
        <w:jc w:val="left"/>
        <w:rPr>
          <w:rFonts w:hint="default" w:ascii="Times New Roman" w:hAnsi="Times New Roman" w:eastAsia="仿宋" w:cs="Times New Roman"/>
          <w:w w:val="100"/>
          <w:kern w:val="2"/>
          <w:sz w:val="32"/>
          <w:szCs w:val="24"/>
          <w:lang w:val="en-US" w:eastAsia="zh-CN" w:bidi="ar-SA"/>
        </w:rPr>
      </w:pPr>
    </w:p>
    <w:p>
      <w:pPr>
        <w:pStyle w:val="2"/>
        <w:jc w:val="left"/>
        <w:rPr>
          <w:rFonts w:hint="default" w:ascii="Times New Roman" w:hAnsi="Times New Roman" w:eastAsia="仿宋_GB2312" w:cs="Times New Roman"/>
          <w:w w:val="100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w w:val="100"/>
          <w:kern w:val="2"/>
          <w:sz w:val="32"/>
          <w:szCs w:val="24"/>
          <w:lang w:val="en-US" w:eastAsia="zh-CN" w:bidi="ar-SA"/>
        </w:rPr>
        <w:t xml:space="preserve">填报单位：    </w:t>
      </w:r>
      <w:r>
        <w:rPr>
          <w:rFonts w:hint="eastAsia" w:ascii="Times New Roman" w:hAnsi="Times New Roman" w:eastAsia="仿宋_GB2312" w:cs="Times New Roman"/>
          <w:w w:val="100"/>
          <w:kern w:val="2"/>
          <w:sz w:val="32"/>
          <w:szCs w:val="24"/>
          <w:lang w:val="en-US" w:eastAsia="zh-CN" w:bidi="ar-SA"/>
        </w:rPr>
        <w:t xml:space="preserve">       </w:t>
      </w:r>
      <w:r>
        <w:rPr>
          <w:rFonts w:hint="default" w:ascii="Times New Roman" w:hAnsi="Times New Roman" w:eastAsia="仿宋_GB2312" w:cs="Times New Roman"/>
          <w:w w:val="100"/>
          <w:kern w:val="2"/>
          <w:sz w:val="32"/>
          <w:szCs w:val="24"/>
          <w:lang w:val="en-US" w:eastAsia="zh-CN" w:bidi="ar-SA"/>
        </w:rPr>
        <w:t xml:space="preserve">                                 截止日期：  年   月   日</w:t>
      </w:r>
    </w:p>
    <w:tbl>
      <w:tblPr>
        <w:tblStyle w:val="5"/>
        <w:tblW w:w="12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547"/>
        <w:gridCol w:w="2088"/>
        <w:gridCol w:w="1978"/>
        <w:gridCol w:w="2610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089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w w:val="1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w w:val="100"/>
                <w:kern w:val="2"/>
                <w:sz w:val="24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547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w w:val="1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w w:val="100"/>
                <w:kern w:val="2"/>
                <w:sz w:val="24"/>
                <w:szCs w:val="21"/>
                <w:lang w:val="en-US" w:eastAsia="zh-CN" w:bidi="ar-SA"/>
              </w:rPr>
              <w:t>矿山名称</w:t>
            </w:r>
          </w:p>
        </w:tc>
        <w:tc>
          <w:tcPr>
            <w:tcW w:w="2088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w w:val="1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w w:val="100"/>
                <w:kern w:val="2"/>
                <w:sz w:val="24"/>
                <w:szCs w:val="21"/>
                <w:lang w:val="en-US" w:eastAsia="zh-CN" w:bidi="ar-SA"/>
              </w:rPr>
              <w:t>重大隐患内容</w:t>
            </w:r>
          </w:p>
        </w:tc>
        <w:tc>
          <w:tcPr>
            <w:tcW w:w="1978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w w:val="1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w w:val="100"/>
                <w:kern w:val="2"/>
                <w:sz w:val="24"/>
                <w:szCs w:val="21"/>
                <w:lang w:val="en-US" w:eastAsia="zh-CN" w:bidi="ar-SA"/>
              </w:rPr>
              <w:t>挂牌督办单位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w w:val="1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w w:val="100"/>
                <w:kern w:val="2"/>
                <w:sz w:val="24"/>
                <w:szCs w:val="21"/>
                <w:lang w:val="en-US" w:eastAsia="zh-CN" w:bidi="ar-SA"/>
              </w:rPr>
              <w:t>整改情况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w w:val="1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w w:val="100"/>
                <w:kern w:val="2"/>
                <w:sz w:val="24"/>
                <w:szCs w:val="21"/>
                <w:lang w:val="en-US" w:eastAsia="zh-CN" w:bidi="ar-SA"/>
              </w:rPr>
              <w:t>（已整改/正在整改）</w:t>
            </w:r>
          </w:p>
        </w:tc>
        <w:tc>
          <w:tcPr>
            <w:tcW w:w="252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w w:val="1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w w:val="100"/>
                <w:kern w:val="2"/>
                <w:sz w:val="24"/>
                <w:szCs w:val="21"/>
                <w:lang w:val="en-US" w:eastAsia="zh-CN" w:bidi="ar-SA"/>
              </w:rPr>
              <w:t>采取的主要防范措施（正在整改的填写）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089" w:type="dxa"/>
            <w:vAlign w:val="top"/>
          </w:tcPr>
          <w:p>
            <w:pPr>
              <w:pStyle w:val="2"/>
              <w:jc w:val="left"/>
              <w:rPr>
                <w:rFonts w:hint="default" w:ascii="Times New Roman" w:hAnsi="Times New Roman" w:cs="Times New Roman"/>
                <w:w w:val="100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top"/>
          </w:tcPr>
          <w:p>
            <w:pPr>
              <w:pStyle w:val="2"/>
              <w:jc w:val="left"/>
              <w:rPr>
                <w:rFonts w:hint="default" w:ascii="Times New Roman" w:hAnsi="Times New Roman" w:cs="Times New Roman"/>
                <w:w w:val="100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vAlign w:val="top"/>
          </w:tcPr>
          <w:p>
            <w:pPr>
              <w:pStyle w:val="2"/>
              <w:jc w:val="left"/>
              <w:rPr>
                <w:rFonts w:hint="default" w:ascii="Times New Roman" w:hAnsi="Times New Roman" w:cs="Times New Roman"/>
                <w:w w:val="100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vAlign w:val="top"/>
          </w:tcPr>
          <w:p>
            <w:pPr>
              <w:pStyle w:val="2"/>
              <w:jc w:val="left"/>
              <w:rPr>
                <w:rFonts w:hint="default" w:ascii="Times New Roman" w:hAnsi="Times New Roman" w:cs="Times New Roman"/>
                <w:w w:val="100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pStyle w:val="2"/>
              <w:jc w:val="left"/>
              <w:rPr>
                <w:rFonts w:hint="default" w:ascii="Times New Roman" w:hAnsi="Times New Roman" w:cs="Times New Roman"/>
                <w:w w:val="100"/>
                <w:vertAlign w:val="baseline"/>
                <w:lang w:val="en-US" w:eastAsia="zh-CN"/>
              </w:rPr>
            </w:pPr>
          </w:p>
        </w:tc>
        <w:tc>
          <w:tcPr>
            <w:tcW w:w="2525" w:type="dxa"/>
            <w:vAlign w:val="top"/>
          </w:tcPr>
          <w:p>
            <w:pPr>
              <w:pStyle w:val="2"/>
              <w:jc w:val="left"/>
              <w:rPr>
                <w:rFonts w:hint="default" w:ascii="Times New Roman" w:hAnsi="Times New Roman" w:cs="Times New Roman"/>
                <w:w w:val="1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089" w:type="dxa"/>
            <w:vAlign w:val="top"/>
          </w:tcPr>
          <w:p>
            <w:pPr>
              <w:pStyle w:val="2"/>
              <w:jc w:val="left"/>
              <w:rPr>
                <w:rFonts w:hint="default" w:ascii="Times New Roman" w:hAnsi="Times New Roman" w:cs="Times New Roman"/>
                <w:w w:val="100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top"/>
          </w:tcPr>
          <w:p>
            <w:pPr>
              <w:pStyle w:val="2"/>
              <w:jc w:val="left"/>
              <w:rPr>
                <w:rFonts w:hint="default" w:ascii="Times New Roman" w:hAnsi="Times New Roman" w:cs="Times New Roman"/>
                <w:w w:val="100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vAlign w:val="top"/>
          </w:tcPr>
          <w:p>
            <w:pPr>
              <w:pStyle w:val="2"/>
              <w:jc w:val="left"/>
              <w:rPr>
                <w:rFonts w:hint="default" w:ascii="Times New Roman" w:hAnsi="Times New Roman" w:cs="Times New Roman"/>
                <w:w w:val="100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vAlign w:val="top"/>
          </w:tcPr>
          <w:p>
            <w:pPr>
              <w:pStyle w:val="2"/>
              <w:jc w:val="left"/>
              <w:rPr>
                <w:rFonts w:hint="default" w:ascii="Times New Roman" w:hAnsi="Times New Roman" w:cs="Times New Roman"/>
                <w:w w:val="100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pStyle w:val="2"/>
              <w:jc w:val="left"/>
              <w:rPr>
                <w:rFonts w:hint="default" w:ascii="Times New Roman" w:hAnsi="Times New Roman" w:cs="Times New Roman"/>
                <w:w w:val="100"/>
                <w:vertAlign w:val="baseline"/>
                <w:lang w:val="en-US" w:eastAsia="zh-CN"/>
              </w:rPr>
            </w:pPr>
          </w:p>
        </w:tc>
        <w:tc>
          <w:tcPr>
            <w:tcW w:w="2525" w:type="dxa"/>
            <w:vAlign w:val="top"/>
          </w:tcPr>
          <w:p>
            <w:pPr>
              <w:pStyle w:val="2"/>
              <w:jc w:val="left"/>
              <w:rPr>
                <w:rFonts w:hint="default" w:ascii="Times New Roman" w:hAnsi="Times New Roman" w:cs="Times New Roman"/>
                <w:w w:val="1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089" w:type="dxa"/>
            <w:vAlign w:val="top"/>
          </w:tcPr>
          <w:p>
            <w:pPr>
              <w:pStyle w:val="2"/>
              <w:jc w:val="left"/>
              <w:rPr>
                <w:rFonts w:hint="default" w:ascii="Times New Roman" w:hAnsi="Times New Roman" w:cs="Times New Roman"/>
                <w:w w:val="100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top"/>
          </w:tcPr>
          <w:p>
            <w:pPr>
              <w:pStyle w:val="2"/>
              <w:jc w:val="left"/>
              <w:rPr>
                <w:rFonts w:hint="default" w:ascii="Times New Roman" w:hAnsi="Times New Roman" w:cs="Times New Roman"/>
                <w:w w:val="100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vAlign w:val="top"/>
          </w:tcPr>
          <w:p>
            <w:pPr>
              <w:pStyle w:val="2"/>
              <w:jc w:val="left"/>
              <w:rPr>
                <w:rFonts w:hint="default" w:ascii="Times New Roman" w:hAnsi="Times New Roman" w:cs="Times New Roman"/>
                <w:w w:val="100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vAlign w:val="top"/>
          </w:tcPr>
          <w:p>
            <w:pPr>
              <w:pStyle w:val="2"/>
              <w:jc w:val="left"/>
              <w:rPr>
                <w:rFonts w:hint="default" w:ascii="Times New Roman" w:hAnsi="Times New Roman" w:cs="Times New Roman"/>
                <w:w w:val="100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pStyle w:val="2"/>
              <w:jc w:val="left"/>
              <w:rPr>
                <w:rFonts w:hint="default" w:ascii="Times New Roman" w:hAnsi="Times New Roman" w:cs="Times New Roman"/>
                <w:w w:val="100"/>
                <w:vertAlign w:val="baseline"/>
                <w:lang w:val="en-US" w:eastAsia="zh-CN"/>
              </w:rPr>
            </w:pPr>
          </w:p>
        </w:tc>
        <w:tc>
          <w:tcPr>
            <w:tcW w:w="2525" w:type="dxa"/>
            <w:vAlign w:val="top"/>
          </w:tcPr>
          <w:p>
            <w:pPr>
              <w:pStyle w:val="2"/>
              <w:jc w:val="left"/>
              <w:rPr>
                <w:rFonts w:hint="default" w:ascii="Times New Roman" w:hAnsi="Times New Roman" w:cs="Times New Roman"/>
                <w:w w:val="1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089" w:type="dxa"/>
            <w:vAlign w:val="top"/>
          </w:tcPr>
          <w:p>
            <w:pPr>
              <w:pStyle w:val="2"/>
              <w:jc w:val="left"/>
              <w:rPr>
                <w:rFonts w:hint="default" w:ascii="Times New Roman" w:hAnsi="Times New Roman" w:cs="Times New Roman"/>
                <w:w w:val="100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top"/>
          </w:tcPr>
          <w:p>
            <w:pPr>
              <w:pStyle w:val="2"/>
              <w:jc w:val="left"/>
              <w:rPr>
                <w:rFonts w:hint="default" w:ascii="Times New Roman" w:hAnsi="Times New Roman" w:cs="Times New Roman"/>
                <w:w w:val="100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vAlign w:val="top"/>
          </w:tcPr>
          <w:p>
            <w:pPr>
              <w:pStyle w:val="2"/>
              <w:jc w:val="left"/>
              <w:rPr>
                <w:rFonts w:hint="default" w:ascii="Times New Roman" w:hAnsi="Times New Roman" w:cs="Times New Roman"/>
                <w:w w:val="100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vAlign w:val="top"/>
          </w:tcPr>
          <w:p>
            <w:pPr>
              <w:pStyle w:val="2"/>
              <w:jc w:val="left"/>
              <w:rPr>
                <w:rFonts w:hint="default" w:ascii="Times New Roman" w:hAnsi="Times New Roman" w:cs="Times New Roman"/>
                <w:w w:val="100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pStyle w:val="2"/>
              <w:jc w:val="left"/>
              <w:rPr>
                <w:rFonts w:hint="default" w:ascii="Times New Roman" w:hAnsi="Times New Roman" w:cs="Times New Roman"/>
                <w:w w:val="100"/>
                <w:vertAlign w:val="baseline"/>
                <w:lang w:val="en-US" w:eastAsia="zh-CN"/>
              </w:rPr>
            </w:pPr>
          </w:p>
        </w:tc>
        <w:tc>
          <w:tcPr>
            <w:tcW w:w="2525" w:type="dxa"/>
            <w:vAlign w:val="top"/>
          </w:tcPr>
          <w:p>
            <w:pPr>
              <w:pStyle w:val="2"/>
              <w:jc w:val="left"/>
              <w:rPr>
                <w:rFonts w:hint="default" w:ascii="Times New Roman" w:hAnsi="Times New Roman" w:cs="Times New Roman"/>
                <w:w w:val="100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firstLine="540" w:firstLineChars="300"/>
        <w:jc w:val="left"/>
        <w:rPr>
          <w:rFonts w:hint="default" w:ascii="Times New Roman" w:hAnsi="Times New Roman" w:cs="Times New Roman"/>
          <w:w w:val="100"/>
          <w:lang w:val="en-US" w:eastAsia="zh-CN"/>
        </w:rPr>
      </w:pPr>
    </w:p>
    <w:p>
      <w:pPr>
        <w:pStyle w:val="2"/>
        <w:jc w:val="left"/>
        <w:rPr>
          <w:rFonts w:hint="default" w:ascii="Times New Roman" w:hAnsi="Times New Roman" w:eastAsia="仿宋" w:cs="Times New Roman"/>
          <w:w w:val="100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w w:val="100"/>
          <w:kern w:val="2"/>
          <w:sz w:val="32"/>
          <w:szCs w:val="24"/>
          <w:lang w:val="en-US" w:eastAsia="zh-CN" w:bidi="ar-SA"/>
        </w:rPr>
        <w:t>填报人：                                           联系电话：</w:t>
      </w:r>
    </w:p>
    <w:p>
      <w:pPr>
        <w:pStyle w:val="2"/>
        <w:jc w:val="left"/>
        <w:rPr>
          <w:rFonts w:hint="default" w:ascii="Times New Roman" w:hAnsi="Times New Roman" w:eastAsia="仿宋" w:cs="Times New Roman"/>
          <w:w w:val="100"/>
          <w:kern w:val="2"/>
          <w:sz w:val="32"/>
          <w:szCs w:val="24"/>
          <w:lang w:val="en-US" w:eastAsia="zh-CN" w:bidi="ar-SA"/>
        </w:rPr>
      </w:pPr>
    </w:p>
    <w:p>
      <w:pPr>
        <w:pStyle w:val="2"/>
        <w:jc w:val="left"/>
        <w:rPr>
          <w:rFonts w:hint="default" w:ascii="Times New Roman" w:hAnsi="Times New Roman" w:eastAsia="仿宋" w:cs="Times New Roman"/>
          <w:w w:val="100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w w:val="100"/>
          <w:kern w:val="2"/>
          <w:sz w:val="32"/>
          <w:szCs w:val="24"/>
          <w:lang w:val="en-US" w:eastAsia="zh-CN" w:bidi="ar-SA"/>
        </w:rPr>
        <w:t>注：</w:t>
      </w:r>
      <w:r>
        <w:rPr>
          <w:rFonts w:hint="default" w:ascii="Times New Roman" w:hAnsi="Times New Roman" w:eastAsia="仿宋" w:cs="Times New Roman"/>
          <w:w w:val="100"/>
          <w:kern w:val="2"/>
          <w:sz w:val="32"/>
          <w:szCs w:val="24"/>
          <w:lang w:val="en-US" w:eastAsia="zh-CN" w:bidi="ar-SA"/>
        </w:rPr>
        <w:t>重大隐患应根据《金属非金属矿山重大生产安全事故隐患判定标准》（试行）进行判定。</w:t>
      </w:r>
    </w:p>
    <w:p/>
    <w:sectPr>
      <w:pgSz w:w="16838" w:h="11906" w:orient="landscape"/>
      <w:pgMar w:top="1587" w:right="2098" w:bottom="1474" w:left="1984" w:header="851" w:footer="1701" w:gutter="0"/>
      <w:pgNumType w:fmt="numberInDash"/>
      <w:cols w:space="0" w:num="1"/>
      <w:rtlGutter w:val="0"/>
      <w:docGrid w:type="linesAndChars" w:linePitch="315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44B41"/>
    <w:rsid w:val="52F00D4A"/>
    <w:rsid w:val="79B4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2021-04-12T01:48:00Z</dcterms:created>
  <dc:creator>MDZZ</dc:creator>
  <cp:lastModifiedBy>MDZZ</cp:lastModifiedBy>
  <dcterms:modified xsi:type="dcterms:W3CDTF">2021-04-12T01:49:05Z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