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0" w:firstLineChars="200"/>
        <w:jc w:val="center"/>
        <w:rPr>
          <w:rFonts w:hint="eastAsia" w:ascii="华文中宋" w:hAnsi="华文中宋" w:eastAsia="华文中宋"/>
          <w:sz w:val="36"/>
          <w:szCs w:val="36"/>
        </w:rPr>
      </w:pPr>
      <w:bookmarkStart w:id="0" w:name="YS060100"/>
    </w:p>
    <w:bookmarkEnd w:id="0"/>
    <w:p>
      <w:pPr>
        <w:snapToGrid w:val="0"/>
        <w:ind w:firstLine="1440" w:firstLineChars="200"/>
        <w:jc w:val="center"/>
        <w:rPr>
          <w:rFonts w:hint="eastAsia" w:ascii="方正小标宋简体" w:hAnsi="宋体" w:eastAsia="方正小标宋简体"/>
          <w:color w:val="000000"/>
          <w:sz w:val="72"/>
          <w:szCs w:val="72"/>
          <w:lang w:eastAsia="zh-CN"/>
        </w:rPr>
      </w:pPr>
      <w:bookmarkStart w:id="1" w:name="_Toc15377425"/>
      <w:bookmarkStart w:id="2" w:name="_Toc15396597"/>
      <w:bookmarkStart w:id="3" w:name="_Toc15396475"/>
      <w:bookmarkStart w:id="4" w:name="_Toc15378441"/>
      <w:bookmarkStart w:id="5" w:name="_Toc15377193"/>
      <w:r>
        <w:rPr>
          <w:rFonts w:hint="eastAsia" w:ascii="方正小标宋简体" w:hAnsi="宋体" w:eastAsia="方正小标宋简体"/>
          <w:color w:val="000000"/>
          <w:sz w:val="72"/>
          <w:szCs w:val="72"/>
          <w:lang w:eastAsia="zh-CN"/>
        </w:rPr>
        <w:t>2019年度</w:t>
      </w:r>
      <w:bookmarkEnd w:id="1"/>
      <w:bookmarkEnd w:id="2"/>
      <w:bookmarkEnd w:id="3"/>
      <w:bookmarkEnd w:id="4"/>
      <w:bookmarkEnd w:id="5"/>
    </w:p>
    <w:p>
      <w:pPr>
        <w:snapToGrid w:val="0"/>
        <w:ind w:firstLine="1440" w:firstLineChars="200"/>
        <w:jc w:val="center"/>
        <w:rPr>
          <w:rFonts w:hint="eastAsia" w:ascii="方正小标宋简体" w:hAnsi="宋体" w:eastAsia="方正小标宋简体"/>
          <w:color w:val="000000"/>
          <w:sz w:val="72"/>
          <w:szCs w:val="72"/>
          <w:lang w:eastAsia="zh-CN"/>
        </w:rPr>
      </w:pPr>
      <w:bookmarkStart w:id="6" w:name="_Toc15396598"/>
      <w:bookmarkStart w:id="7" w:name="_Toc15378442"/>
      <w:bookmarkStart w:id="8" w:name="_Toc15396476"/>
      <w:bookmarkStart w:id="9" w:name="_Toc15377426"/>
      <w:bookmarkStart w:id="10" w:name="_Toc15377194"/>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lang w:eastAsia="zh-CN"/>
        </w:rPr>
        <w:t>开江县卫生</w:t>
      </w:r>
    </w:p>
    <w:p>
      <w:pPr>
        <w:snapToGrid w:val="0"/>
        <w:ind w:firstLine="1440" w:firstLineChars="200"/>
        <w:jc w:val="center"/>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健康局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ind w:firstLine="1440" w:firstLineChars="200"/>
        <w:jc w:val="center"/>
        <w:rPr>
          <w:rFonts w:hint="eastAsia" w:ascii="方正小标宋简体" w:hAnsi="宋体" w:eastAsia="方正小标宋简体"/>
          <w:color w:val="000000"/>
          <w:sz w:val="72"/>
          <w:szCs w:val="72"/>
        </w:rPr>
      </w:pPr>
    </w:p>
    <w:p>
      <w:pPr>
        <w:snapToGrid w:val="0"/>
        <w:jc w:val="both"/>
        <w:rPr>
          <w:rFonts w:hint="eastAsia" w:ascii="方正小标宋简体" w:hAnsi="宋体" w:eastAsia="方正小标宋简体"/>
          <w:color w:val="000000"/>
          <w:sz w:val="72"/>
          <w:szCs w:val="72"/>
        </w:rPr>
      </w:pPr>
    </w:p>
    <w:p>
      <w:pPr>
        <w:snapToGrid w:val="0"/>
        <w:spacing w:line="520" w:lineRule="exact"/>
        <w:ind w:firstLine="640" w:firstLineChars="200"/>
        <w:rPr>
          <w:rFonts w:hint="eastAsia" w:ascii="黑体" w:hAnsi="黑体" w:eastAsia="黑体"/>
          <w:sz w:val="32"/>
          <w:szCs w:val="32"/>
        </w:rPr>
      </w:pPr>
      <w:bookmarkStart w:id="12" w:name="YS060101"/>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7"/>
      </w:pPr>
      <w:r>
        <w:rPr>
          <w:rFonts w:hint="eastAsia"/>
        </w:rPr>
        <w:t>公开时间：2020年9月</w:t>
      </w:r>
      <w:r>
        <w:rPr>
          <w:rFonts w:hint="eastAsia"/>
          <w:lang w:val="en-US" w:eastAsia="zh-CN"/>
        </w:rPr>
        <w:t>18</w:t>
      </w:r>
      <w:r>
        <w:rPr>
          <w:rFonts w:hint="eastAsia"/>
        </w:rPr>
        <w:t>日</w:t>
      </w:r>
    </w:p>
    <w:p/>
    <w:p>
      <w:pPr>
        <w:pStyle w:val="7"/>
        <w:adjustRightInd w:val="0"/>
        <w:snapToGrid w:val="0"/>
        <w:spacing w:before="0" w:line="440" w:lineRule="exact"/>
        <w:jc w:val="left"/>
        <w:rPr>
          <w:rFonts w:cstheme="minorBidi"/>
          <w:b/>
          <w:bCs/>
          <w:sz w:val="24"/>
          <w:szCs w:val="24"/>
        </w:rPr>
      </w:pPr>
      <w:r>
        <w:rPr>
          <w:rFonts w:hint="eastAsia"/>
          <w:b/>
          <w:bCs/>
          <w:sz w:val="24"/>
        </w:rPr>
        <w:t>第一部分</w:t>
      </w:r>
      <w:r>
        <w:rPr>
          <w:b/>
          <w:bCs/>
          <w:sz w:val="24"/>
        </w:rPr>
        <w:t xml:space="preserve"> </w:t>
      </w:r>
      <w:r>
        <w:rPr>
          <w:rFonts w:hint="eastAsia"/>
          <w:b/>
          <w:bCs/>
          <w:sz w:val="24"/>
        </w:rPr>
        <w:t>部门概况</w:t>
      </w:r>
    </w:p>
    <w:p>
      <w:pPr>
        <w:pStyle w:val="8"/>
        <w:adjustRightInd w:val="0"/>
        <w:snapToGrid w:val="0"/>
        <w:spacing w:line="440" w:lineRule="exact"/>
        <w:jc w:val="left"/>
        <w:rPr>
          <w:rFonts w:ascii="仿宋" w:hAnsi="仿宋" w:eastAsia="仿宋"/>
          <w:sz w:val="24"/>
        </w:rPr>
      </w:pPr>
      <w:r>
        <w:rPr>
          <w:rFonts w:hint="eastAsia"/>
          <w:sz w:val="24"/>
        </w:rPr>
        <w:t>一、基本职能及主要工作</w:t>
      </w:r>
    </w:p>
    <w:p>
      <w:pPr>
        <w:pStyle w:val="8"/>
        <w:adjustRightInd w:val="0"/>
        <w:snapToGrid w:val="0"/>
        <w:spacing w:line="440" w:lineRule="exact"/>
        <w:jc w:val="left"/>
        <w:rPr>
          <w:rFonts w:ascii="仿宋" w:hAnsi="仿宋" w:eastAsia="仿宋" w:cstheme="minorBidi"/>
          <w:sz w:val="24"/>
        </w:rPr>
      </w:pPr>
      <w:r>
        <w:rPr>
          <w:rFonts w:hint="eastAsia"/>
          <w:sz w:val="24"/>
        </w:rPr>
        <w:t>二、机构设置</w:t>
      </w:r>
    </w:p>
    <w:p>
      <w:pPr>
        <w:pStyle w:val="7"/>
        <w:adjustRightInd w:val="0"/>
        <w:snapToGrid w:val="0"/>
        <w:spacing w:before="0" w:line="440" w:lineRule="exact"/>
        <w:jc w:val="left"/>
        <w:rPr>
          <w:sz w:val="24"/>
          <w:szCs w:val="24"/>
        </w:rPr>
      </w:pPr>
      <w:r>
        <w:rPr>
          <w:rFonts w:hint="eastAsia"/>
          <w:b/>
          <w:bCs/>
          <w:sz w:val="24"/>
        </w:rPr>
        <w:t>第二部分度部门决算情况说明</w:t>
      </w:r>
    </w:p>
    <w:p>
      <w:pPr>
        <w:pStyle w:val="8"/>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8"/>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8"/>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8"/>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8"/>
        <w:adjustRightInd w:val="0"/>
        <w:snapToGrid w:val="0"/>
        <w:spacing w:line="440" w:lineRule="exact"/>
        <w:jc w:val="left"/>
        <w:rPr>
          <w:rFonts w:hint="eastAsia"/>
          <w:sz w:val="24"/>
        </w:rPr>
      </w:pPr>
      <w:r>
        <w:rPr>
          <w:rFonts w:hint="eastAsia"/>
          <w:sz w:val="24"/>
        </w:rPr>
        <w:t>九、 国有资本经营预算支出决算情况说明</w:t>
      </w:r>
    </w:p>
    <w:p>
      <w:pPr>
        <w:pStyle w:val="8"/>
        <w:adjustRightInd w:val="0"/>
        <w:snapToGrid w:val="0"/>
        <w:spacing w:line="440" w:lineRule="exact"/>
        <w:jc w:val="left"/>
        <w:rPr>
          <w:rFonts w:ascii="仿宋" w:hAnsi="仿宋" w:eastAsia="仿宋" w:cstheme="minorBidi"/>
          <w:sz w:val="24"/>
        </w:rPr>
      </w:pPr>
      <w:r>
        <w:rPr>
          <w:rFonts w:hint="eastAsia"/>
          <w:sz w:val="24"/>
        </w:rPr>
        <w:t>十、其他重要事项的情况说明</w:t>
      </w:r>
      <w:r>
        <w:rPr>
          <w:rFonts w:ascii="仿宋" w:hAnsi="仿宋" w:eastAsia="仿宋"/>
          <w:sz w:val="24"/>
        </w:rPr>
        <w:tab/>
      </w:r>
    </w:p>
    <w:p>
      <w:pPr>
        <w:pStyle w:val="7"/>
        <w:adjustRightInd w:val="0"/>
        <w:snapToGrid w:val="0"/>
        <w:spacing w:before="0" w:line="440" w:lineRule="exact"/>
        <w:jc w:val="left"/>
        <w:rPr>
          <w:rFonts w:cstheme="minorBidi"/>
          <w:sz w:val="24"/>
          <w:szCs w:val="24"/>
        </w:rPr>
      </w:pPr>
      <w:r>
        <w:rPr>
          <w:rFonts w:hint="eastAsia"/>
          <w:b/>
          <w:bCs/>
          <w:sz w:val="24"/>
        </w:rPr>
        <w:t>第三部分</w:t>
      </w:r>
      <w:r>
        <w:rPr>
          <w:b/>
          <w:bCs/>
          <w:sz w:val="24"/>
        </w:rPr>
        <w:t xml:space="preserve"> </w:t>
      </w:r>
      <w:r>
        <w:rPr>
          <w:rFonts w:hint="eastAsia"/>
          <w:b/>
          <w:bCs/>
          <w:sz w:val="24"/>
        </w:rPr>
        <w:t>名词解释</w:t>
      </w:r>
    </w:p>
    <w:p>
      <w:pPr>
        <w:pStyle w:val="7"/>
        <w:adjustRightInd w:val="0"/>
        <w:snapToGrid w:val="0"/>
        <w:spacing w:before="0" w:line="440" w:lineRule="exact"/>
        <w:jc w:val="left"/>
        <w:rPr>
          <w:rFonts w:cstheme="minorBidi"/>
          <w:b/>
          <w:bCs/>
          <w:sz w:val="24"/>
          <w:szCs w:val="24"/>
        </w:rPr>
      </w:pPr>
      <w:r>
        <w:rPr>
          <w:rFonts w:hint="eastAsia"/>
          <w:b/>
          <w:bCs/>
          <w:sz w:val="24"/>
        </w:rPr>
        <w:t>第四部分</w:t>
      </w:r>
      <w:r>
        <w:rPr>
          <w:b/>
          <w:bCs/>
          <w:sz w:val="24"/>
        </w:rPr>
        <w:t xml:space="preserve"> </w:t>
      </w:r>
      <w:r>
        <w:rPr>
          <w:rFonts w:hint="eastAsia"/>
          <w:b/>
          <w:bCs/>
          <w:sz w:val="24"/>
        </w:rPr>
        <w:t>附件</w:t>
      </w:r>
    </w:p>
    <w:p>
      <w:pPr>
        <w:pStyle w:val="8"/>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8"/>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7"/>
        <w:adjustRightInd w:val="0"/>
        <w:snapToGrid w:val="0"/>
        <w:spacing w:before="0" w:line="440" w:lineRule="exact"/>
        <w:jc w:val="left"/>
        <w:rPr>
          <w:rFonts w:cstheme="minorBidi"/>
          <w:sz w:val="24"/>
          <w:szCs w:val="24"/>
        </w:rPr>
      </w:pPr>
      <w:r>
        <w:rPr>
          <w:rFonts w:hint="eastAsia"/>
          <w:b/>
          <w:bCs/>
          <w:sz w:val="24"/>
        </w:rPr>
        <w:t>第五部分</w:t>
      </w:r>
      <w:r>
        <w:rPr>
          <w:b/>
          <w:bCs/>
          <w:sz w:val="24"/>
        </w:rPr>
        <w:t xml:space="preserve"> </w:t>
      </w:r>
      <w:r>
        <w:rPr>
          <w:rFonts w:hint="eastAsia"/>
          <w:b/>
          <w:bCs/>
          <w:sz w:val="24"/>
        </w:rPr>
        <w:t>附表</w:t>
      </w:r>
    </w:p>
    <w:p>
      <w:pPr>
        <w:pStyle w:val="8"/>
        <w:adjustRightInd w:val="0"/>
        <w:snapToGrid w:val="0"/>
        <w:spacing w:line="440" w:lineRule="exact"/>
        <w:jc w:val="left"/>
        <w:rPr>
          <w:rFonts w:hint="eastAsia"/>
          <w:sz w:val="24"/>
        </w:rPr>
      </w:pPr>
      <w:r>
        <w:rPr>
          <w:rFonts w:hint="eastAsia" w:ascii="仿宋" w:hAnsi="仿宋" w:eastAsia="仿宋"/>
          <w:sz w:val="24"/>
        </w:rPr>
        <w:t>一、</w:t>
      </w:r>
      <w:r>
        <w:rPr>
          <w:rFonts w:hint="eastAsia"/>
          <w:sz w:val="24"/>
        </w:rPr>
        <w:t>收入支出决算总表</w:t>
      </w:r>
    </w:p>
    <w:p>
      <w:pPr>
        <w:pStyle w:val="8"/>
        <w:adjustRightInd w:val="0"/>
        <w:snapToGrid w:val="0"/>
        <w:spacing w:line="440" w:lineRule="exact"/>
        <w:jc w:val="left"/>
        <w:rPr>
          <w:rFonts w:hint="eastAsia"/>
          <w:sz w:val="24"/>
        </w:rPr>
      </w:pPr>
      <w:r>
        <w:rPr>
          <w:rFonts w:hint="eastAsia"/>
          <w:sz w:val="24"/>
        </w:rPr>
        <w:t>二、收入决算表</w:t>
      </w:r>
    </w:p>
    <w:p>
      <w:pPr>
        <w:pStyle w:val="8"/>
        <w:adjustRightInd w:val="0"/>
        <w:snapToGrid w:val="0"/>
        <w:spacing w:line="440" w:lineRule="exact"/>
        <w:jc w:val="left"/>
        <w:rPr>
          <w:rFonts w:hint="eastAsia"/>
          <w:sz w:val="24"/>
        </w:rPr>
      </w:pPr>
      <w:r>
        <w:rPr>
          <w:rFonts w:hint="eastAsia"/>
          <w:sz w:val="24"/>
        </w:rPr>
        <w:t>三、支出决算表</w:t>
      </w:r>
    </w:p>
    <w:p>
      <w:pPr>
        <w:pStyle w:val="8"/>
        <w:adjustRightInd w:val="0"/>
        <w:snapToGrid w:val="0"/>
        <w:spacing w:line="440" w:lineRule="exact"/>
        <w:jc w:val="left"/>
        <w:rPr>
          <w:rFonts w:hint="eastAsia"/>
          <w:sz w:val="24"/>
        </w:rPr>
      </w:pPr>
      <w:r>
        <w:rPr>
          <w:rFonts w:hint="eastAsia"/>
          <w:sz w:val="24"/>
        </w:rPr>
        <w:t>四、财政拨款收入支出决算总表</w:t>
      </w:r>
    </w:p>
    <w:p>
      <w:pPr>
        <w:pStyle w:val="8"/>
        <w:adjustRightInd w:val="0"/>
        <w:snapToGrid w:val="0"/>
        <w:spacing w:line="440" w:lineRule="exact"/>
        <w:jc w:val="left"/>
        <w:rPr>
          <w:rFonts w:hint="eastAsia"/>
          <w:sz w:val="24"/>
        </w:rPr>
      </w:pPr>
      <w:r>
        <w:rPr>
          <w:rFonts w:hint="eastAsia"/>
          <w:sz w:val="24"/>
        </w:rPr>
        <w:t>五、财政拨款支出决算明细表</w:t>
      </w:r>
    </w:p>
    <w:p>
      <w:pPr>
        <w:pStyle w:val="8"/>
        <w:adjustRightInd w:val="0"/>
        <w:snapToGrid w:val="0"/>
        <w:spacing w:line="440" w:lineRule="exact"/>
        <w:jc w:val="left"/>
        <w:rPr>
          <w:rFonts w:hint="eastAsia"/>
          <w:sz w:val="24"/>
        </w:rPr>
      </w:pPr>
      <w:r>
        <w:rPr>
          <w:rFonts w:hint="eastAsia"/>
          <w:sz w:val="24"/>
        </w:rPr>
        <w:t>六、一般公共预算财政拨款支出决算表</w:t>
      </w:r>
    </w:p>
    <w:p>
      <w:pPr>
        <w:pStyle w:val="8"/>
        <w:adjustRightInd w:val="0"/>
        <w:snapToGrid w:val="0"/>
        <w:spacing w:line="440" w:lineRule="exact"/>
        <w:jc w:val="left"/>
        <w:rPr>
          <w:rFonts w:ascii="仿宋" w:hAnsi="仿宋" w:eastAsia="仿宋" w:cstheme="minorBidi"/>
          <w:sz w:val="24"/>
        </w:rPr>
      </w:pPr>
      <w:r>
        <w:rPr>
          <w:rFonts w:hint="eastAsia"/>
          <w:sz w:val="24"/>
        </w:rPr>
        <w:t>七、一般公共预算财政拨款支出决算明细表</w:t>
      </w:r>
    </w:p>
    <w:p>
      <w:pPr>
        <w:pStyle w:val="8"/>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8"/>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8"/>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8"/>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8"/>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8"/>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640" w:firstLineChars="200"/>
        <w:rPr>
          <w:rFonts w:hint="eastAsia" w:ascii="黑体" w:hAnsi="黑体" w:eastAsia="黑体"/>
          <w:sz w:val="32"/>
          <w:szCs w:val="32"/>
        </w:rPr>
      </w:pPr>
    </w:p>
    <w:p>
      <w:pPr>
        <w:snapToGrid w:val="0"/>
        <w:spacing w:line="520" w:lineRule="exact"/>
        <w:rPr>
          <w:rFonts w:hint="eastAsia" w:ascii="黑体" w:hAnsi="黑体" w:eastAsia="黑体"/>
          <w:sz w:val="32"/>
          <w:szCs w:val="32"/>
        </w:rPr>
      </w:pPr>
    </w:p>
    <w:bookmarkEnd w:id="12"/>
    <w:p>
      <w:pPr>
        <w:pStyle w:val="2"/>
        <w:jc w:val="center"/>
        <w:rPr>
          <w:rStyle w:val="16"/>
          <w:rFonts w:ascii="黑体" w:hAnsi="黑体" w:eastAsia="黑体"/>
          <w:b/>
          <w:bCs w:val="0"/>
        </w:rPr>
      </w:pPr>
      <w:r>
        <w:rPr>
          <w:rFonts w:hint="eastAsia" w:ascii="黑体" w:hAnsi="黑体" w:eastAsia="黑体"/>
          <w:b w:val="0"/>
        </w:rPr>
        <w:t xml:space="preserve">第一部分 </w:t>
      </w:r>
      <w:r>
        <w:rPr>
          <w:rStyle w:val="16"/>
          <w:rFonts w:hint="eastAsia" w:ascii="黑体" w:hAnsi="黑体" w:eastAsia="黑体"/>
          <w:b w:val="0"/>
          <w:bCs w:val="0"/>
        </w:rPr>
        <w:t>部门概况</w:t>
      </w:r>
    </w:p>
    <w:p>
      <w:pPr>
        <w:snapToGrid w:val="0"/>
        <w:spacing w:line="520" w:lineRule="exact"/>
        <w:rPr>
          <w:rStyle w:val="15"/>
          <w:rFonts w:hint="eastAsia" w:ascii="黑体" w:hAnsi="黑体" w:eastAsia="黑体"/>
          <w:b w:val="0"/>
          <w:bCs w:val="0"/>
          <w:kern w:val="2"/>
          <w:lang w:val="en-US" w:eastAsia="zh-CN" w:bidi="ar-SA"/>
        </w:rPr>
      </w:pPr>
      <w:r>
        <w:rPr>
          <w:rFonts w:hint="eastAsia" w:ascii="楷体_GB2312" w:hAnsi="仿宋" w:eastAsia="楷体_GB2312"/>
          <w:b/>
          <w:sz w:val="32"/>
          <w:szCs w:val="32"/>
          <w:lang w:eastAsia="zh-CN"/>
        </w:rPr>
        <w:t>一、</w:t>
      </w:r>
      <w:r>
        <w:rPr>
          <w:rStyle w:val="15"/>
          <w:rFonts w:hint="eastAsia" w:ascii="黑体" w:hAnsi="黑体" w:eastAsia="黑体"/>
          <w:b w:val="0"/>
          <w:bCs w:val="0"/>
          <w:kern w:val="2"/>
          <w:lang w:val="en-US" w:eastAsia="zh-CN" w:bidi="ar-SA"/>
        </w:rPr>
        <w:t>基本职能及主要工作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（一）</w:t>
      </w:r>
      <w:r>
        <w:rPr>
          <w:rFonts w:hint="eastAsia" w:ascii="仿宋_GB2312" w:hAnsi="仿宋" w:eastAsia="仿宋_GB2312"/>
          <w:sz w:val="32"/>
          <w:szCs w:val="32"/>
        </w:rPr>
        <w:t>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开江县卫生健康局</w:t>
      </w:r>
      <w:r>
        <w:rPr>
          <w:rFonts w:hint="eastAsia" w:ascii="仿宋_GB2312" w:hAnsi="仿宋_GB2312" w:eastAsia="仿宋_GB2312" w:cs="仿宋_GB2312"/>
          <w:sz w:val="32"/>
          <w:szCs w:val="32"/>
          <w:lang w:eastAsia="zh-CN"/>
        </w:rPr>
        <w:t>主要职能是</w:t>
      </w:r>
      <w:r>
        <w:rPr>
          <w:rFonts w:hint="eastAsia" w:ascii="仿宋_GB2312" w:hAnsi="仿宋_GB2312" w:eastAsia="仿宋_GB2312" w:cs="仿宋_GB2312"/>
          <w:b w:val="0"/>
          <w:i w:val="0"/>
          <w:caps w:val="0"/>
          <w:color w:val="333333"/>
          <w:spacing w:val="0"/>
          <w:sz w:val="32"/>
          <w:szCs w:val="32"/>
          <w:shd w:val="clear" w:color="auto" w:fill="FFFFFF"/>
        </w:rPr>
        <w:t>以</w:t>
      </w:r>
      <w:r>
        <w:rPr>
          <w:rFonts w:hint="eastAsia" w:ascii="仿宋_GB2312" w:hAnsi="仿宋_GB2312" w:eastAsia="仿宋_GB2312" w:cs="仿宋_GB2312"/>
          <w:b w:val="0"/>
          <w:i w:val="0"/>
          <w:caps w:val="0"/>
          <w:color w:val="333333"/>
          <w:spacing w:val="0"/>
          <w:sz w:val="32"/>
          <w:szCs w:val="32"/>
          <w:shd w:val="clear" w:color="auto" w:fill="FFFFFF"/>
          <w:lang w:eastAsia="zh-CN"/>
        </w:rPr>
        <w:t>行政主管，</w:t>
      </w:r>
      <w:r>
        <w:rPr>
          <w:rFonts w:hint="eastAsia" w:ascii="仿宋_GB2312" w:hAnsi="仿宋_GB2312" w:eastAsia="仿宋_GB2312" w:cs="仿宋_GB2312"/>
          <w:b w:val="0"/>
          <w:i w:val="0"/>
          <w:caps w:val="0"/>
          <w:color w:val="333333"/>
          <w:spacing w:val="0"/>
          <w:sz w:val="32"/>
          <w:szCs w:val="32"/>
          <w:shd w:val="clear" w:color="auto" w:fill="FFFFFF"/>
        </w:rPr>
        <w:t>公共卫生服务为主，综合提供预防、保健</w:t>
      </w:r>
      <w:r>
        <w:rPr>
          <w:rFonts w:hint="eastAsia" w:ascii="仿宋_GB2312" w:hAnsi="仿宋_GB2312" w:eastAsia="仿宋_GB2312" w:cs="仿宋_GB2312"/>
          <w:b w:val="0"/>
          <w:i w:val="0"/>
          <w:caps w:val="0"/>
          <w:color w:val="333333"/>
          <w:spacing w:val="0"/>
          <w:sz w:val="32"/>
          <w:szCs w:val="32"/>
          <w:shd w:val="clear" w:color="auto" w:fill="FFFFFF"/>
          <w:lang w:eastAsia="zh-CN"/>
        </w:rPr>
        <w:t>和计划生育</w:t>
      </w:r>
      <w:r>
        <w:rPr>
          <w:rFonts w:hint="eastAsia" w:ascii="仿宋_GB2312" w:hAnsi="仿宋_GB2312" w:eastAsia="仿宋_GB2312" w:cs="仿宋_GB2312"/>
          <w:b w:val="0"/>
          <w:i w:val="0"/>
          <w:caps w:val="0"/>
          <w:color w:val="333333"/>
          <w:spacing w:val="0"/>
          <w:sz w:val="32"/>
          <w:szCs w:val="32"/>
          <w:shd w:val="clear" w:color="auto" w:fill="FFFFFF"/>
        </w:rPr>
        <w:t>等服务。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p>
    <w:p>
      <w:pPr>
        <w:snapToGrid w:val="0"/>
        <w:spacing w:line="520" w:lineRule="exact"/>
        <w:ind w:firstLine="640" w:firstLineChars="200"/>
        <w:rPr>
          <w:rFonts w:hint="eastAsia" w:ascii="仿宋_GB2312" w:hAnsi="仿宋_GB2312" w:eastAsia="仿宋_GB2312" w:cs="仿宋_GB2312"/>
          <w:b w:val="0"/>
          <w:i w:val="0"/>
          <w:caps w:val="0"/>
          <w:color w:val="333333"/>
          <w:spacing w:val="0"/>
          <w:sz w:val="32"/>
          <w:szCs w:val="32"/>
          <w:shd w:val="clear" w:color="auto" w:fill="FFFFFF"/>
          <w:lang w:val="en-US" w:eastAsia="zh-CN"/>
        </w:rPr>
      </w:pPr>
      <w:bookmarkStart w:id="13" w:name="_Toc15377200"/>
      <w:bookmarkStart w:id="14" w:name="_Toc15396601"/>
      <w:r>
        <w:rPr>
          <w:rFonts w:hint="eastAsia" w:ascii="仿宋_GB2312" w:hAnsi="仿宋_GB2312" w:eastAsia="仿宋_GB2312" w:cs="仿宋_GB2312"/>
          <w:b w:val="0"/>
          <w:i w:val="0"/>
          <w:caps w:val="0"/>
          <w:color w:val="333333"/>
          <w:spacing w:val="0"/>
          <w:sz w:val="32"/>
          <w:szCs w:val="32"/>
          <w:shd w:val="clear" w:color="auto" w:fill="FFFFFF"/>
          <w:lang w:val="en-US" w:eastAsia="zh-CN"/>
        </w:rPr>
        <w:t>1、严格落实贫困人口医疗保障制度。2、是强力推进“全面达标”能力建设，3、是积极开展医疗救助“三送”服务，4、是夯实疾病预防控制能力建设，5、是强化卫生应急能力保障，6、是强化妇幼健康优质服务，7、是强化基本公共卫生服务，8、是深入推进贫困人口健康素养行动，9、是大力推进重点项目建设全力打造特色重点专科。按照项目化管理的方式推进重点专科建设，建成1个省级重点专科，3个市级重点专科建设已完成资料准备和自查工作等待市级专家组考核验收，10、是强化分级诊疗制度建设强化依法治医工作。以深入开展“法治深化”活动为契机，全面完成《依法治县“10+3行动”总体方案》。完成依法治医创建工作，11、老龄办、老年大学及三个协会日常工作能正常开展，高龄津贴及时发放，老年教育、老年协会参与人数提高，老年活动开展丰富多彩，敬爱、爱老、助老氛围日益浓厚。</w:t>
      </w:r>
    </w:p>
    <w:p>
      <w:pPr>
        <w:pStyle w:val="3"/>
        <w:rPr>
          <w:rStyle w:val="15"/>
          <w:rFonts w:hint="eastAsia" w:ascii="黑体" w:hAnsi="黑体" w:eastAsia="黑体"/>
          <w:b w:val="0"/>
          <w:bCs w:val="0"/>
        </w:rPr>
      </w:pPr>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13"/>
      <w:bookmarkEnd w:id="14"/>
    </w:p>
    <w:p>
      <w:pPr>
        <w:ind w:firstLine="800" w:firstLineChars="250"/>
        <w:rPr>
          <w:rFonts w:ascii="仿宋" w:hAnsi="仿宋" w:eastAsia="仿宋"/>
          <w:sz w:val="32"/>
          <w:szCs w:val="32"/>
        </w:rPr>
      </w:pPr>
      <w:r>
        <w:rPr>
          <w:rFonts w:hint="eastAsia" w:ascii="仿宋" w:hAnsi="仿宋" w:eastAsia="仿宋"/>
          <w:sz w:val="32"/>
          <w:szCs w:val="32"/>
          <w:lang w:eastAsia="zh-CN"/>
        </w:rPr>
        <w:t>开江县卫生健康局</w:t>
      </w:r>
      <w:r>
        <w:rPr>
          <w:rFonts w:hint="eastAsia" w:ascii="仿宋" w:hAnsi="仿宋" w:eastAsia="仿宋"/>
          <w:sz w:val="32"/>
          <w:szCs w:val="32"/>
        </w:rPr>
        <w:t>下属二级单位</w:t>
      </w:r>
      <w:r>
        <w:rPr>
          <w:rFonts w:hint="eastAsia" w:ascii="仿宋" w:hAnsi="仿宋" w:eastAsia="仿宋"/>
          <w:sz w:val="32"/>
          <w:szCs w:val="32"/>
          <w:lang w:val="en-US" w:eastAsia="zh-CN"/>
        </w:rPr>
        <w:t>5</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4</w:t>
      </w:r>
      <w:r>
        <w:rPr>
          <w:rFonts w:hint="eastAsia" w:ascii="仿宋" w:hAnsi="仿宋" w:eastAsia="仿宋"/>
          <w:sz w:val="32"/>
          <w:szCs w:val="32"/>
        </w:rPr>
        <w:t>个。</w:t>
      </w:r>
    </w:p>
    <w:p>
      <w:pPr>
        <w:pStyle w:val="4"/>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卫生健康局</w:t>
      </w:r>
      <w:r>
        <w:rPr>
          <w:rFonts w:hint="eastAsia" w:ascii="仿宋" w:hAnsi="仿宋" w:eastAsia="仿宋"/>
          <w:color w:val="000000"/>
          <w:sz w:val="32"/>
          <w:szCs w:val="32"/>
        </w:rPr>
        <w:t>2019年度部门决算编制范围的二级预算单位包括：</w:t>
      </w:r>
    </w:p>
    <w:p>
      <w:pPr>
        <w:pStyle w:val="4"/>
        <w:adjustRightInd w:val="0"/>
        <w:snapToGrid w:val="0"/>
        <w:spacing w:before="93" w:line="600" w:lineRule="exact"/>
        <w:ind w:firstLine="672" w:firstLineChars="210"/>
        <w:rPr>
          <w:rFonts w:hint="eastAsia" w:ascii="仿宋" w:hAnsi="仿宋" w:eastAsia="仿宋"/>
          <w:color w:val="000000"/>
          <w:sz w:val="32"/>
          <w:szCs w:val="32"/>
          <w:lang w:eastAsia="zh-CN"/>
        </w:rPr>
      </w:pPr>
      <w:bookmarkStart w:id="15" w:name="_Toc15377433"/>
      <w:bookmarkStart w:id="16" w:name="_Toc15378449"/>
      <w:bookmarkStart w:id="17" w:name="_Toc15377202"/>
      <w:bookmarkStart w:id="18" w:name="_Toc15306276"/>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县爱国卫生运动委员会办公室</w:t>
      </w:r>
      <w:bookmarkEnd w:id="15"/>
      <w:bookmarkEnd w:id="16"/>
      <w:bookmarkEnd w:id="17"/>
      <w:bookmarkEnd w:id="18"/>
    </w:p>
    <w:p>
      <w:pPr>
        <w:pStyle w:val="4"/>
        <w:numPr>
          <w:ilvl w:val="0"/>
          <w:numId w:val="0"/>
        </w:numPr>
        <w:adjustRightInd w:val="0"/>
        <w:snapToGrid w:val="0"/>
        <w:spacing w:before="93" w:line="600" w:lineRule="exact"/>
        <w:ind w:firstLine="640" w:firstLineChars="200"/>
        <w:outlineLvl w:val="2"/>
        <w:rPr>
          <w:rFonts w:hint="eastAsia" w:ascii="仿宋" w:hAnsi="仿宋" w:eastAsia="仿宋"/>
          <w:color w:val="000000"/>
          <w:sz w:val="32"/>
          <w:szCs w:val="32"/>
          <w:lang w:eastAsia="zh-CN"/>
        </w:rPr>
      </w:pPr>
      <w:bookmarkStart w:id="19" w:name="_Toc15306277"/>
      <w:bookmarkStart w:id="20" w:name="_Toc15377203"/>
      <w:bookmarkStart w:id="21" w:name="_Toc15377434"/>
      <w:bookmarkStart w:id="22" w:name="_Toc15378450"/>
      <w:r>
        <w:rPr>
          <w:rFonts w:hint="eastAsia" w:ascii="仿宋" w:hAnsi="仿宋" w:eastAsia="仿宋"/>
          <w:color w:val="000000"/>
          <w:sz w:val="32"/>
          <w:szCs w:val="32"/>
          <w:lang w:val="en-US" w:eastAsia="zh-CN"/>
        </w:rPr>
        <w:t>2.</w:t>
      </w:r>
      <w:bookmarkEnd w:id="19"/>
      <w:bookmarkEnd w:id="20"/>
      <w:bookmarkEnd w:id="21"/>
      <w:bookmarkEnd w:id="22"/>
      <w:r>
        <w:rPr>
          <w:rFonts w:hint="eastAsia" w:ascii="仿宋" w:hAnsi="仿宋" w:eastAsia="仿宋"/>
          <w:color w:val="000000"/>
          <w:sz w:val="32"/>
          <w:szCs w:val="32"/>
          <w:lang w:eastAsia="zh-CN"/>
        </w:rPr>
        <w:t>卫生健康信息中心</w:t>
      </w:r>
    </w:p>
    <w:p>
      <w:pPr>
        <w:pStyle w:val="4"/>
        <w:numPr>
          <w:ilvl w:val="0"/>
          <w:numId w:val="0"/>
        </w:numPr>
        <w:adjustRightInd w:val="0"/>
        <w:snapToGrid w:val="0"/>
        <w:spacing w:before="93" w:line="600" w:lineRule="exact"/>
        <w:ind w:firstLine="640" w:firstLineChars="200"/>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3.老龄发展中心</w:t>
      </w:r>
    </w:p>
    <w:p>
      <w:pPr>
        <w:pStyle w:val="4"/>
        <w:numPr>
          <w:ilvl w:val="0"/>
          <w:numId w:val="0"/>
        </w:numPr>
        <w:adjustRightInd w:val="0"/>
        <w:snapToGrid w:val="0"/>
        <w:spacing w:before="93" w:line="600" w:lineRule="exact"/>
        <w:ind w:firstLine="640" w:firstLineChars="200"/>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4.计划生育协会</w:t>
      </w:r>
    </w:p>
    <w:p>
      <w:pPr>
        <w:pStyle w:val="4"/>
        <w:numPr>
          <w:ilvl w:val="0"/>
          <w:numId w:val="0"/>
        </w:numPr>
        <w:adjustRightInd w:val="0"/>
        <w:snapToGrid w:val="0"/>
        <w:spacing w:before="93" w:line="600" w:lineRule="exact"/>
        <w:ind w:firstLine="640" w:firstLineChars="200"/>
        <w:outlineLvl w:val="2"/>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5.计划生育培训中心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ind w:right="440"/>
        <w:jc w:val="center"/>
        <w:rPr>
          <w:rStyle w:val="16"/>
          <w:rFonts w:ascii="黑体" w:hAnsi="黑体" w:eastAsia="黑体"/>
          <w:b w:val="0"/>
          <w:bCs w:val="0"/>
        </w:rPr>
      </w:pPr>
      <w:bookmarkStart w:id="23" w:name="_Toc15377204"/>
      <w:bookmarkStart w:id="24"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16"/>
          <w:rFonts w:hint="eastAsia" w:ascii="黑体" w:hAnsi="黑体" w:eastAsia="黑体"/>
          <w:b w:val="0"/>
          <w:bCs w:val="0"/>
        </w:rPr>
        <w:t>2019年度部门决算情况说明</w:t>
      </w:r>
      <w:bookmarkEnd w:id="23"/>
      <w:bookmarkEnd w:id="24"/>
    </w:p>
    <w:p>
      <w:pPr>
        <w:pStyle w:val="14"/>
        <w:numPr>
          <w:ilvl w:val="0"/>
          <w:numId w:val="0"/>
        </w:numPr>
        <w:tabs>
          <w:tab w:val="left" w:pos="594"/>
        </w:tabs>
        <w:spacing w:line="600" w:lineRule="exact"/>
        <w:outlineLvl w:val="1"/>
        <w:rPr>
          <w:rStyle w:val="15"/>
          <w:rFonts w:hint="eastAsia" w:ascii="黑体" w:hAnsi="黑体" w:eastAsia="黑体"/>
          <w:b w:val="0"/>
        </w:rPr>
      </w:pPr>
      <w:bookmarkStart w:id="25" w:name="_Toc15396603"/>
      <w:bookmarkStart w:id="26" w:name="_Toc15377205"/>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25"/>
      <w:bookmarkEnd w:id="26"/>
    </w:p>
    <w:p>
      <w:pPr>
        <w:snapToGrid w:val="0"/>
        <w:spacing w:line="52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1991.73</w:t>
      </w:r>
      <w:r>
        <w:rPr>
          <w:rFonts w:hint="eastAsia" w:ascii="仿宋" w:hAnsi="仿宋" w:eastAsia="仿宋"/>
          <w:color w:val="000000"/>
          <w:sz w:val="32"/>
          <w:szCs w:val="32"/>
          <w:lang w:eastAsia="zh-CN"/>
        </w:rPr>
        <w:t>万元，支出</w:t>
      </w:r>
      <w:r>
        <w:rPr>
          <w:rFonts w:hint="eastAsia" w:ascii="仿宋" w:hAnsi="仿宋" w:eastAsia="仿宋"/>
          <w:color w:val="000000"/>
          <w:sz w:val="32"/>
          <w:szCs w:val="32"/>
          <w:lang w:val="en-US" w:eastAsia="zh-CN"/>
        </w:rPr>
        <w:t>1991.73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。与2018年相比，收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97.36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lang w:eastAsia="zh-CN"/>
        </w:rPr>
        <w:t>，支出增加</w:t>
      </w:r>
      <w:r>
        <w:rPr>
          <w:rFonts w:hint="eastAsia" w:ascii="仿宋" w:hAnsi="仿宋" w:eastAsia="仿宋"/>
          <w:color w:val="000000"/>
          <w:sz w:val="32"/>
          <w:szCs w:val="32"/>
          <w:lang w:val="en-US" w:eastAsia="zh-CN"/>
        </w:rPr>
        <w:t>97.36万元，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_GB2312" w:hAnsi="仿宋" w:eastAsia="仿宋_GB2312"/>
          <w:sz w:val="32"/>
          <w:szCs w:val="32"/>
          <w:lang w:eastAsia="zh-CN"/>
        </w:rPr>
        <w:t>人员</w:t>
      </w:r>
      <w:r>
        <w:rPr>
          <w:rFonts w:hint="eastAsia" w:ascii="仿宋_GB2312" w:hAnsi="仿宋" w:eastAsia="仿宋_GB2312"/>
          <w:sz w:val="32"/>
          <w:szCs w:val="32"/>
        </w:rPr>
        <w:t>费用支出增加及职工工资及社会保障缴费增加。</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14"/>
        <w:numPr>
          <w:ilvl w:val="0"/>
          <w:numId w:val="0"/>
        </w:numPr>
        <w:tabs>
          <w:tab w:val="left" w:pos="594"/>
        </w:tabs>
        <w:spacing w:line="600" w:lineRule="exact"/>
        <w:outlineLvl w:val="1"/>
        <w:rPr>
          <w:rStyle w:val="15"/>
          <w:rFonts w:hint="eastAsia" w:ascii="黑体" w:hAnsi="黑体" w:eastAsia="黑体"/>
          <w:b w:val="0"/>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18415</wp:posOffset>
            </wp:positionV>
            <wp:extent cx="4615180" cy="3345180"/>
            <wp:effectExtent l="5080" t="4445" r="46990" b="60325"/>
            <wp:wrapTight wrapText="bothSides">
              <wp:wrapPolygon>
                <wp:start x="-24" y="-29"/>
                <wp:lineTo x="-24" y="21497"/>
                <wp:lineTo x="21552" y="21497"/>
                <wp:lineTo x="21552" y="-29"/>
                <wp:lineTo x="-24" y="-29"/>
              </wp:wrapPolygon>
            </wp:wrapTight>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14"/>
        <w:numPr>
          <w:ilvl w:val="0"/>
          <w:numId w:val="0"/>
        </w:numPr>
        <w:tabs>
          <w:tab w:val="left" w:pos="594"/>
        </w:tabs>
        <w:spacing w:line="600" w:lineRule="exact"/>
        <w:outlineLvl w:val="1"/>
        <w:rPr>
          <w:rStyle w:val="15"/>
          <w:rFonts w:hint="eastAsia" w:ascii="黑体" w:hAnsi="黑体" w:eastAsia="黑体"/>
          <w:b w:val="0"/>
          <w:lang w:eastAsia="zh-CN"/>
        </w:rPr>
      </w:pPr>
    </w:p>
    <w:p>
      <w:pPr>
        <w:pStyle w:val="14"/>
        <w:numPr>
          <w:ilvl w:val="0"/>
          <w:numId w:val="0"/>
        </w:numPr>
        <w:tabs>
          <w:tab w:val="left" w:pos="594"/>
        </w:tabs>
        <w:spacing w:line="600" w:lineRule="exact"/>
        <w:outlineLvl w:val="1"/>
        <w:rPr>
          <w:rStyle w:val="15"/>
          <w:rFonts w:hint="eastAsia" w:ascii="黑体" w:hAnsi="黑体" w:eastAsia="黑体"/>
          <w:b w:val="0"/>
        </w:rPr>
      </w:pPr>
    </w:p>
    <w:p>
      <w:pPr>
        <w:pStyle w:val="14"/>
        <w:numPr>
          <w:ilvl w:val="0"/>
          <w:numId w:val="0"/>
        </w:numPr>
        <w:tabs>
          <w:tab w:val="left" w:pos="594"/>
        </w:tabs>
        <w:spacing w:line="600" w:lineRule="exact"/>
        <w:outlineLvl w:val="1"/>
        <w:rPr>
          <w:rStyle w:val="15"/>
          <w:rFonts w:hint="eastAsia" w:ascii="黑体" w:hAnsi="黑体" w:eastAsia="黑体"/>
          <w:b w:val="0"/>
        </w:rPr>
      </w:pPr>
    </w:p>
    <w:p>
      <w:pPr>
        <w:pStyle w:val="14"/>
        <w:numPr>
          <w:ilvl w:val="0"/>
          <w:numId w:val="0"/>
        </w:numPr>
        <w:tabs>
          <w:tab w:val="left" w:pos="594"/>
        </w:tabs>
        <w:spacing w:line="600" w:lineRule="exact"/>
        <w:outlineLvl w:val="1"/>
        <w:rPr>
          <w:rStyle w:val="15"/>
          <w:rFonts w:hint="eastAsia" w:ascii="黑体" w:hAnsi="黑体" w:eastAsia="黑体"/>
          <w:b w:val="0"/>
        </w:rPr>
      </w:pPr>
    </w:p>
    <w:p>
      <w:pPr>
        <w:pStyle w:val="14"/>
        <w:numPr>
          <w:ilvl w:val="0"/>
          <w:numId w:val="0"/>
        </w:numPr>
        <w:tabs>
          <w:tab w:val="left" w:pos="594"/>
        </w:tabs>
        <w:spacing w:line="600" w:lineRule="exact"/>
        <w:outlineLvl w:val="1"/>
        <w:rPr>
          <w:rStyle w:val="15"/>
          <w:rFonts w:hint="eastAsia" w:ascii="黑体" w:hAnsi="黑体" w:eastAsia="黑体"/>
          <w:b w:val="0"/>
          <w:lang w:eastAsia="zh-CN"/>
        </w:rPr>
      </w:pPr>
    </w:p>
    <w:p>
      <w:pPr>
        <w:pStyle w:val="14"/>
        <w:numPr>
          <w:ilvl w:val="0"/>
          <w:numId w:val="0"/>
        </w:numPr>
        <w:tabs>
          <w:tab w:val="left" w:pos="594"/>
        </w:tabs>
        <w:spacing w:line="600" w:lineRule="exact"/>
        <w:outlineLvl w:val="1"/>
        <w:rPr>
          <w:rStyle w:val="15"/>
          <w:rFonts w:hint="eastAsia" w:ascii="黑体" w:hAnsi="黑体" w:eastAsia="黑体"/>
          <w:b w:val="0"/>
        </w:rPr>
      </w:pPr>
    </w:p>
    <w:p>
      <w:pPr>
        <w:pStyle w:val="14"/>
        <w:numPr>
          <w:ilvl w:val="0"/>
          <w:numId w:val="0"/>
        </w:numPr>
        <w:tabs>
          <w:tab w:val="left" w:pos="594"/>
        </w:tabs>
        <w:spacing w:line="600" w:lineRule="exact"/>
        <w:outlineLvl w:val="1"/>
        <w:rPr>
          <w:rStyle w:val="15"/>
          <w:rFonts w:hint="eastAsia" w:ascii="黑体" w:hAnsi="黑体" w:eastAsia="黑体"/>
          <w:b w:val="0"/>
        </w:rPr>
      </w:pPr>
    </w:p>
    <w:p>
      <w:pPr>
        <w:numPr>
          <w:ilvl w:val="0"/>
          <w:numId w:val="1"/>
        </w:numPr>
        <w:rPr>
          <w:rStyle w:val="15"/>
          <w:rFonts w:hint="eastAsia" w:ascii="黑体" w:hAnsi="黑体" w:eastAsia="黑体"/>
          <w:b w:val="0"/>
        </w:rPr>
      </w:pPr>
      <w:r>
        <w:rPr>
          <w:rFonts w:hint="eastAsia" w:ascii="黑体" w:hAnsi="黑体" w:eastAsia="黑体"/>
          <w:color w:val="000000"/>
          <w:sz w:val="32"/>
          <w:szCs w:val="32"/>
        </w:rPr>
        <w:t>收</w:t>
      </w:r>
      <w:r>
        <w:rPr>
          <w:rStyle w:val="15"/>
          <w:rFonts w:hint="eastAsia" w:ascii="黑体" w:hAnsi="黑体" w:eastAsia="黑体"/>
          <w:b w:val="0"/>
        </w:rPr>
        <w:t>入决算情况说明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1991.73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1991.73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（图2：收入决算结构图）（饼状图）</w:t>
      </w:r>
    </w:p>
    <w:p>
      <w:pPr>
        <w:numPr>
          <w:ilvl w:val="0"/>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20955" b="146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4"/>
        <w:numPr>
          <w:ilvl w:val="0"/>
          <w:numId w:val="0"/>
        </w:numPr>
        <w:spacing w:line="600" w:lineRule="exact"/>
        <w:outlineLvl w:val="1"/>
        <w:rPr>
          <w:rStyle w:val="15"/>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15"/>
          <w:rFonts w:hint="eastAsia" w:ascii="黑体" w:hAnsi="黑体" w:eastAsia="黑体"/>
          <w:b w:val="0"/>
        </w:rPr>
        <w:t>出决算情况说明</w:t>
      </w:r>
    </w:p>
    <w:p>
      <w:pPr>
        <w:spacing w:line="600" w:lineRule="exact"/>
        <w:ind w:firstLine="640" w:firstLineChars="200"/>
        <w:outlineLvl w:val="1"/>
        <w:rPr>
          <w:rFonts w:hint="eastAsia" w:ascii="仿宋_GB2312" w:hAnsi="仿宋" w:eastAsia="仿宋_GB2312" w:cs="Times New Roman"/>
          <w:kern w:val="2"/>
          <w:sz w:val="32"/>
          <w:szCs w:val="32"/>
          <w:lang w:val="en-US" w:eastAsia="zh-CN" w:bidi="ar-SA"/>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1991.73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1963.40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98.58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28.33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（图3：支出决算结构图）（饼状图）</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drawing>
          <wp:inline distT="0" distB="0" distL="114300" distR="114300">
            <wp:extent cx="5080000" cy="3810000"/>
            <wp:effectExtent l="4445" t="4445" r="20955" b="146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outlineLvl w:val="1"/>
        <w:rPr>
          <w:rStyle w:val="15"/>
          <w:rFonts w:ascii="黑体" w:hAnsi="黑体" w:eastAsia="黑体"/>
          <w:b w:val="0"/>
        </w:rPr>
      </w:pPr>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p>
    <w:p>
      <w:pPr>
        <w:spacing w:line="600" w:lineRule="exact"/>
        <w:ind w:firstLine="640"/>
        <w:rPr>
          <w:rFonts w:hint="eastAsia" w:ascii="仿宋_GB2312" w:hAnsi="仿宋" w:eastAsia="仿宋_GB2312" w:cs="Times New Roman"/>
          <w:kern w:val="2"/>
          <w:sz w:val="32"/>
          <w:szCs w:val="32"/>
          <w:lang w:val="en-US" w:eastAsia="zh-CN" w:bidi="ar-SA"/>
        </w:rPr>
      </w:pPr>
      <w:r>
        <w:rPr>
          <w:rFonts w:ascii="仿宋" w:hAnsi="仿宋" w:eastAsia="仿宋"/>
          <w:color w:val="000000"/>
          <w:sz w:val="32"/>
          <w:szCs w:val="32"/>
        </w:rPr>
        <w:t>201</w:t>
      </w:r>
      <w:r>
        <w:rPr>
          <w:rFonts w:hint="eastAsia" w:ascii="仿宋" w:hAnsi="仿宋" w:eastAsia="仿宋"/>
          <w:color w:val="000000"/>
          <w:sz w:val="32"/>
          <w:szCs w:val="32"/>
        </w:rPr>
        <w:t>9年财政拨款</w:t>
      </w:r>
      <w:r>
        <w:rPr>
          <w:rFonts w:hint="eastAsia" w:ascii="仿宋" w:hAnsi="仿宋" w:eastAsia="仿宋"/>
          <w:color w:val="000000"/>
          <w:sz w:val="32"/>
          <w:szCs w:val="32"/>
          <w:lang w:eastAsia="zh-CN"/>
        </w:rPr>
        <w:t>收入</w:t>
      </w:r>
      <w:r>
        <w:rPr>
          <w:rFonts w:hint="eastAsia" w:ascii="仿宋" w:hAnsi="仿宋" w:eastAsia="仿宋"/>
          <w:color w:val="000000"/>
          <w:sz w:val="32"/>
          <w:szCs w:val="32"/>
          <w:lang w:val="en-US" w:eastAsia="zh-CN"/>
        </w:rPr>
        <w:t>1991.73</w:t>
      </w:r>
      <w:r>
        <w:rPr>
          <w:rFonts w:hint="eastAsia" w:ascii="仿宋" w:hAnsi="仿宋" w:eastAsia="仿宋"/>
          <w:color w:val="000000"/>
          <w:sz w:val="32"/>
          <w:szCs w:val="32"/>
          <w:lang w:eastAsia="zh-CN"/>
        </w:rPr>
        <w:t>万元，支出</w:t>
      </w:r>
      <w:r>
        <w:rPr>
          <w:rFonts w:hint="eastAsia" w:ascii="仿宋" w:hAnsi="仿宋" w:eastAsia="仿宋"/>
          <w:color w:val="000000"/>
          <w:sz w:val="32"/>
          <w:szCs w:val="32"/>
          <w:lang w:val="en-US" w:eastAsia="zh-CN"/>
        </w:rPr>
        <w:t>1991.73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。与2018年相比，财政拨款</w:t>
      </w:r>
      <w:r>
        <w:rPr>
          <w:rFonts w:hint="eastAsia" w:ascii="仿宋" w:hAnsi="仿宋" w:eastAsia="仿宋"/>
          <w:color w:val="000000"/>
          <w:sz w:val="32"/>
          <w:szCs w:val="32"/>
          <w:lang w:eastAsia="zh-CN"/>
        </w:rPr>
        <w:t>收入增加</w:t>
      </w:r>
      <w:r>
        <w:rPr>
          <w:rFonts w:hint="eastAsia" w:ascii="仿宋" w:hAnsi="仿宋" w:eastAsia="仿宋"/>
          <w:color w:val="000000"/>
          <w:sz w:val="32"/>
          <w:szCs w:val="32"/>
          <w:lang w:val="en-US" w:eastAsia="zh-CN"/>
        </w:rPr>
        <w:t>97.36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lang w:eastAsia="zh-CN"/>
        </w:rPr>
        <w:t>，支出增加</w:t>
      </w:r>
      <w:r>
        <w:rPr>
          <w:rFonts w:hint="eastAsia" w:ascii="仿宋" w:hAnsi="仿宋" w:eastAsia="仿宋"/>
          <w:color w:val="000000"/>
          <w:sz w:val="32"/>
          <w:szCs w:val="32"/>
          <w:lang w:val="en-US" w:eastAsia="zh-CN"/>
        </w:rPr>
        <w:t>97.36万元，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_GB2312" w:hAnsi="仿宋" w:eastAsia="仿宋_GB2312"/>
          <w:sz w:val="32"/>
          <w:szCs w:val="32"/>
          <w:lang w:eastAsia="zh-CN"/>
        </w:rPr>
        <w:t>人员</w:t>
      </w:r>
      <w:r>
        <w:rPr>
          <w:rFonts w:hint="eastAsia" w:ascii="仿宋_GB2312" w:hAnsi="仿宋" w:eastAsia="仿宋_GB2312"/>
          <w:sz w:val="32"/>
          <w:szCs w:val="32"/>
        </w:rPr>
        <w:t>费用支出增加及职工工资及社会保障缴费增加。</w: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numPr>
          <w:ilvl w:val="0"/>
          <w:numId w:val="2"/>
        </w:numPr>
        <w:rPr>
          <w:rStyle w:val="15"/>
          <w:rFonts w:hint="eastAsia" w:ascii="黑体" w:hAnsi="黑体" w:eastAsia="黑体"/>
          <w:b w:val="0"/>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-280670</wp:posOffset>
            </wp:positionH>
            <wp:positionV relativeFrom="paragraph">
              <wp:posOffset>-7935595</wp:posOffset>
            </wp:positionV>
            <wp:extent cx="5735955" cy="3440430"/>
            <wp:effectExtent l="5080" t="4445" r="12065" b="222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p>
    <w:p>
      <w:pPr>
        <w:numPr>
          <w:ilvl w:val="0"/>
          <w:numId w:val="0"/>
        </w:numPr>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spacing w:line="600" w:lineRule="exact"/>
        <w:ind w:firstLine="640" w:firstLineChars="200"/>
        <w:rPr>
          <w:rFonts w:hint="eastAsia" w:ascii="仿宋_GB2312" w:hAnsi="仿宋" w:eastAsia="仿宋_GB2312" w:cs="Times New Roman"/>
          <w:kern w:val="2"/>
          <w:sz w:val="32"/>
          <w:szCs w:val="32"/>
          <w:lang w:val="en-US" w:eastAsia="zh-CN" w:bidi="ar-SA"/>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1991.73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97.36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eastAsia="zh-CN"/>
        </w:rPr>
        <w:t>人员</w:t>
      </w:r>
      <w:r>
        <w:rPr>
          <w:rFonts w:hint="eastAsia" w:ascii="仿宋_GB2312" w:hAnsi="仿宋" w:eastAsia="仿宋_GB2312"/>
          <w:sz w:val="32"/>
          <w:szCs w:val="32"/>
        </w:rPr>
        <w:t>费用支出增加及职工工资及社会保障缴费增加</w:t>
      </w:r>
      <w:r>
        <w:rPr>
          <w:rFonts w:hint="eastAsia" w:ascii="仿宋_GB2312" w:hAnsi="仿宋" w:eastAsia="仿宋_GB2312"/>
          <w:sz w:val="32"/>
          <w:szCs w:val="32"/>
          <w:lang w:eastAsia="zh-CN"/>
        </w:rPr>
        <w:t>。</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drawing>
          <wp:inline distT="0" distB="0" distL="114300" distR="114300">
            <wp:extent cx="4656455" cy="3282315"/>
            <wp:effectExtent l="4445" t="4445" r="6350"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2"/>
        <w:rPr>
          <w:rFonts w:ascii="仿宋" w:hAnsi="仿宋" w:eastAsia="仿宋"/>
          <w:b/>
          <w:color w:val="000000"/>
          <w:sz w:val="32"/>
          <w:szCs w:val="32"/>
        </w:rPr>
      </w:pPr>
      <w:bookmarkStart w:id="27" w:name="_Toc15377210"/>
      <w:r>
        <w:rPr>
          <w:rFonts w:hint="eastAsia" w:ascii="仿宋" w:hAnsi="仿宋" w:eastAsia="仿宋"/>
          <w:b/>
          <w:color w:val="000000"/>
          <w:sz w:val="32"/>
          <w:szCs w:val="32"/>
        </w:rPr>
        <w:t>（二）一般公共预算财政拨款支出决算结构情况</w:t>
      </w:r>
    </w:p>
    <w:p>
      <w:pPr>
        <w:spacing w:line="600" w:lineRule="exact"/>
        <w:ind w:firstLine="640" w:firstLineChars="200"/>
        <w:rPr>
          <w:rFonts w:hint="eastAsia" w:eastAsiaTheme="minorEastAsia"/>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1991.73</w:t>
      </w:r>
      <w:r>
        <w:rPr>
          <w:rFonts w:hint="eastAsia" w:ascii="仿宋" w:hAnsi="仿宋" w:eastAsia="仿宋"/>
          <w:color w:val="000000" w:themeColor="text1"/>
          <w:sz w:val="32"/>
          <w:szCs w:val="32"/>
          <w14:textFill>
            <w14:solidFill>
              <w14:schemeClr w14:val="tx1"/>
            </w14:solidFill>
          </w14:textFill>
        </w:rPr>
        <w:t>万元，主要用于以下方面</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140.24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卫生健康支出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1775.88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89.16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75.61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（图6：一般公共预算财政拨款支出决算结构）（饼状图）</w:t>
      </w:r>
      <w:bookmarkEnd w:id="27"/>
    </w:p>
    <w:p>
      <w:pPr>
        <w:rPr>
          <w:rFonts w:hint="eastAsia" w:eastAsiaTheme="minorEastAsia"/>
          <w:lang w:eastAsia="zh-CN"/>
        </w:rPr>
      </w:pPr>
      <w:r>
        <w:rPr>
          <w:rFonts w:hint="eastAsia" w:eastAsiaTheme="minorEastAsia"/>
          <w:lang w:eastAsia="zh-CN"/>
        </w:rPr>
        <w:drawing>
          <wp:inline distT="0" distB="0" distL="114300" distR="114300">
            <wp:extent cx="5037455" cy="4370705"/>
            <wp:effectExtent l="5080" t="4445" r="5715"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spacing w:line="600" w:lineRule="exact"/>
        <w:ind w:firstLine="643" w:firstLineChars="200"/>
        <w:outlineLvl w:val="2"/>
        <w:rPr>
          <w:rFonts w:ascii="仿宋" w:hAnsi="仿宋" w:eastAsia="仿宋"/>
          <w:color w:val="FF0000"/>
          <w:sz w:val="32"/>
          <w:szCs w:val="32"/>
        </w:rPr>
      </w:pPr>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1991.73万元</w:t>
      </w:r>
      <w:r>
        <w:rPr>
          <w:rFonts w:hint="eastAsia" w:ascii="仿宋" w:hAnsi="仿宋" w:eastAsia="仿宋"/>
          <w:color w:val="000000" w:themeColor="text1"/>
          <w:sz w:val="32"/>
          <w:szCs w:val="32"/>
          <w14:textFill>
            <w14:solidFill>
              <w14:schemeClr w14:val="tx1"/>
            </w14:solidFill>
          </w14:textFill>
        </w:rPr>
        <w:t>，</w:t>
      </w:r>
      <w:r>
        <w:rPr>
          <w:rStyle w:val="12"/>
          <w:rFonts w:hint="eastAsia" w:ascii="仿宋" w:hAnsi="仿宋" w:eastAsia="仿宋"/>
          <w:bCs/>
          <w:color w:val="000000" w:themeColor="text1"/>
          <w:sz w:val="32"/>
          <w:szCs w:val="32"/>
          <w14:textFill>
            <w14:solidFill>
              <w14:schemeClr w14:val="tx1"/>
            </w14:solidFill>
          </w14:textFill>
        </w:rPr>
        <w:t>完成</w:t>
      </w:r>
      <w:r>
        <w:rPr>
          <w:rStyle w:val="12"/>
          <w:rFonts w:hint="eastAsia" w:ascii="仿宋" w:hAnsi="仿宋" w:eastAsia="仿宋"/>
          <w:bCs/>
          <w:color w:val="000000"/>
          <w:sz w:val="32"/>
          <w:szCs w:val="32"/>
        </w:rPr>
        <w:t>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p>
    <w:p>
      <w:pPr>
        <w:numPr>
          <w:ilvl w:val="0"/>
          <w:numId w:val="0"/>
        </w:num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w:t>
      </w:r>
      <w:r>
        <w:rPr>
          <w:rStyle w:val="12"/>
          <w:rFonts w:hint="eastAsia" w:ascii="仿宋" w:hAnsi="仿宋" w:eastAsia="仿宋"/>
          <w:bCs/>
          <w:color w:val="000000"/>
          <w:sz w:val="32"/>
          <w:szCs w:val="32"/>
          <w:lang w:eastAsia="zh-CN"/>
        </w:rPr>
        <w:t>社会保障和就业支出（类）行政事业单位离退休（款）机关事业单位基本养老保险缴费支出（项）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114.73</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5.8</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numPr>
          <w:ilvl w:val="0"/>
          <w:numId w:val="0"/>
        </w:num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2.</w:t>
      </w:r>
      <w:r>
        <w:rPr>
          <w:rStyle w:val="12"/>
          <w:rFonts w:hint="eastAsia" w:ascii="仿宋" w:hAnsi="仿宋" w:eastAsia="仿宋"/>
          <w:bCs/>
          <w:color w:val="000000"/>
          <w:sz w:val="32"/>
          <w:szCs w:val="32"/>
          <w:lang w:eastAsia="zh-CN"/>
        </w:rPr>
        <w:t>社会保障和就业支出（类）抚恤（款）死亡抚恤（项）：</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15.52</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0.78</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numPr>
          <w:ilvl w:val="0"/>
          <w:numId w:val="0"/>
        </w:num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3.</w:t>
      </w:r>
      <w:r>
        <w:rPr>
          <w:rStyle w:val="12"/>
          <w:rFonts w:hint="eastAsia" w:ascii="仿宋" w:hAnsi="仿宋" w:eastAsia="仿宋"/>
          <w:bCs/>
          <w:color w:val="000000"/>
          <w:sz w:val="32"/>
          <w:szCs w:val="32"/>
          <w:lang w:eastAsia="zh-CN"/>
        </w:rPr>
        <w:t>社会保障和就业支出（类）其他社会保障和就业支出（款）其他社会保障和就业支出（项）：</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10</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0.5</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4</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卫生健康支出（类）卫生健康管理事务（款）行政运行（项）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319.17</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16</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5</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卫生健康支出（类）卫生健康管理事务（款）其他卫生健康管理事务支出（项）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475.05</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23.85</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6</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卫生健康支出（类）公共卫生（款）基本公共卫生服务（项）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10.13</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0.51</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7</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卫生健康支出（类）公共卫生（款）重大公共卫生服务（项）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13</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0.65</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8</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卫生健康支出（类）公共卫生（款）其他公共卫生服务（项）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9</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0.45</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9</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卫生健康支出（类）中医药（款）中医（民族医）药专项（项）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5.2</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0.26</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10</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卫生健康支出（类）计划生育事务（款）其他计划生育事务支出（项）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873.37</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43.85</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11</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卫生健康支出（类）行政事业单位医疗（款）行政单位医疗（项）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14.84</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0.75</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12</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卫生健康支出（类）行政事业单位医疗（款）事业单位医疗（项）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27.8</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1.4</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13</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卫生健康支出（类）行政事业单位医疗（款）公务员医疗补助（项）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11.58</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0.58</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14</w:t>
      </w:r>
      <w:r>
        <w:rPr>
          <w:rStyle w:val="12"/>
          <w:rFonts w:ascii="仿宋" w:hAnsi="仿宋" w:eastAsia="仿宋"/>
          <w:bCs/>
          <w:color w:val="000000"/>
          <w:sz w:val="32"/>
          <w:szCs w:val="32"/>
        </w:rPr>
        <w:t>.</w:t>
      </w:r>
      <w:r>
        <w:rPr>
          <w:rStyle w:val="12"/>
          <w:rFonts w:hint="eastAsia" w:ascii="仿宋" w:hAnsi="仿宋" w:eastAsia="仿宋"/>
          <w:bCs/>
          <w:color w:val="000000"/>
          <w:sz w:val="32"/>
          <w:szCs w:val="32"/>
          <w:lang w:eastAsia="zh-CN"/>
        </w:rPr>
        <w:t>卫生健康支出（类）其他卫生健康支出（款）其他卫生健康支出（项）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16.74</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0.84</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spacing w:line="600" w:lineRule="exact"/>
        <w:ind w:firstLine="643" w:firstLineChars="200"/>
        <w:rPr>
          <w:rFonts w:hint="eastAsia" w:ascii="仿宋_GB2312" w:hAnsi="仿宋" w:eastAsia="仿宋_GB2312"/>
          <w:sz w:val="32"/>
          <w:szCs w:val="32"/>
          <w:lang w:eastAsia="zh-CN"/>
        </w:rPr>
      </w:pPr>
      <w:r>
        <w:rPr>
          <w:rStyle w:val="12"/>
          <w:rFonts w:hint="eastAsia" w:ascii="仿宋" w:hAnsi="仿宋" w:eastAsia="仿宋"/>
          <w:bCs/>
          <w:color w:val="000000"/>
          <w:sz w:val="32"/>
          <w:szCs w:val="32"/>
          <w:lang w:val="en-US" w:eastAsia="zh-CN"/>
        </w:rPr>
        <w:t>15</w:t>
      </w:r>
      <w:r>
        <w:rPr>
          <w:rStyle w:val="12"/>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住房保障支出（类）住房改革支出（款）住房公积金：</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75.61</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3.8</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，决算数等于预算数。</w:t>
      </w:r>
    </w:p>
    <w:p>
      <w:pPr>
        <w:tabs>
          <w:tab w:val="right" w:pos="8306"/>
        </w:tabs>
        <w:spacing w:line="600" w:lineRule="exact"/>
        <w:outlineLvl w:val="1"/>
        <w:rPr>
          <w:rStyle w:val="15"/>
        </w:rPr>
      </w:pPr>
      <w:bookmarkStart w:id="28" w:name="_Toc15377214"/>
      <w:bookmarkStart w:id="2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r>
        <w:rPr>
          <w:rStyle w:val="15"/>
          <w:rFonts w:ascii="黑体" w:hAnsi="黑体" w:eastAsia="黑体"/>
          <w:b w:val="0"/>
        </w:rPr>
        <w:tab/>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1963.4</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1881.05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82.35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outlineLvl w:val="1"/>
        <w:rPr>
          <w:rStyle w:val="15"/>
          <w:rFonts w:ascii="黑体" w:hAnsi="黑体" w:eastAsia="黑体"/>
          <w:b w:val="0"/>
        </w:rPr>
      </w:pPr>
      <w:bookmarkStart w:id="30" w:name="_Toc15396609"/>
      <w:bookmarkStart w:id="31" w:name="_Toc15377215"/>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30"/>
      <w:bookmarkEnd w:id="31"/>
    </w:p>
    <w:p>
      <w:pPr>
        <w:spacing w:line="600" w:lineRule="exact"/>
        <w:outlineLvl w:val="2"/>
        <w:rPr>
          <w:rFonts w:ascii="仿宋" w:hAnsi="仿宋" w:eastAsia="仿宋"/>
          <w:b/>
          <w:color w:val="000000"/>
          <w:sz w:val="32"/>
          <w:szCs w:val="32"/>
        </w:rPr>
      </w:pPr>
      <w:bookmarkStart w:id="32" w:name="_Toc15377216"/>
      <w:r>
        <w:rPr>
          <w:rFonts w:hint="eastAsia" w:ascii="仿宋" w:hAnsi="仿宋" w:eastAsia="仿宋"/>
          <w:b/>
          <w:color w:val="000000"/>
          <w:sz w:val="32"/>
          <w:szCs w:val="32"/>
        </w:rPr>
        <w:t>（一）“三公”经费财政拨款支出决算总体情况说明</w:t>
      </w:r>
      <w:bookmarkEnd w:id="3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outlineLvl w:val="2"/>
        <w:rPr>
          <w:rFonts w:ascii="仿宋" w:hAnsi="仿宋" w:eastAsia="仿宋"/>
          <w:b/>
          <w:color w:val="000000"/>
          <w:sz w:val="32"/>
          <w:szCs w:val="32"/>
        </w:rPr>
      </w:pPr>
      <w:bookmarkStart w:id="33" w:name="_Toc15377217"/>
      <w:r>
        <w:rPr>
          <w:rFonts w:hint="eastAsia" w:ascii="仿宋" w:hAnsi="仿宋" w:eastAsia="仿宋"/>
          <w:b/>
          <w:color w:val="000000"/>
          <w:sz w:val="32"/>
          <w:szCs w:val="32"/>
        </w:rPr>
        <w:t>（二）“三公”经费财政拨款支出决算具体情况说明</w:t>
      </w:r>
      <w:bookmarkEnd w:id="33"/>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outlineLvl w:val="1"/>
        <w:rPr>
          <w:rStyle w:val="15"/>
          <w:rFonts w:ascii="黑体" w:hAnsi="黑体" w:eastAsia="黑体"/>
        </w:rPr>
      </w:pPr>
      <w:r>
        <w:rPr>
          <w:rFonts w:hint="eastAsia" w:ascii="黑体" w:eastAsia="黑体"/>
          <w:color w:val="000000"/>
          <w:sz w:val="32"/>
          <w:szCs w:val="32"/>
        </w:rPr>
        <w:t>八、</w:t>
      </w:r>
      <w:r>
        <w:rPr>
          <w:rStyle w:val="15"/>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outlineLvl w:val="1"/>
        <w:rPr>
          <w:rStyle w:val="15"/>
          <w:rFonts w:ascii="黑体" w:hAnsi="黑体" w:eastAsia="黑体"/>
          <w:b w:val="0"/>
        </w:rPr>
      </w:pPr>
      <w:bookmarkStart w:id="34" w:name="_Toc15377219"/>
      <w:bookmarkStart w:id="35" w:name="_Toc15396611"/>
      <w:r>
        <w:rPr>
          <w:rStyle w:val="15"/>
          <w:rFonts w:hint="eastAsia" w:ascii="黑体" w:hAnsi="黑体" w:eastAsia="黑体"/>
          <w:b w:val="0"/>
          <w:lang w:eastAsia="zh-CN"/>
        </w:rPr>
        <w:t>九、</w:t>
      </w:r>
      <w:r>
        <w:rPr>
          <w:rStyle w:val="15"/>
          <w:rFonts w:hint="eastAsia" w:ascii="黑体" w:hAnsi="黑体" w:eastAsia="黑体"/>
          <w:b w:val="0"/>
        </w:rPr>
        <w:t>国有资本经营预算支出决算情况说明</w:t>
      </w:r>
      <w:bookmarkEnd w:id="34"/>
      <w:bookmarkEnd w:id="35"/>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outlineLvl w:val="1"/>
        <w:rPr>
          <w:rStyle w:val="15"/>
          <w:rFonts w:ascii="黑体" w:hAnsi="黑体" w:eastAsia="黑体"/>
        </w:rPr>
      </w:pPr>
      <w:r>
        <w:rPr>
          <w:rFonts w:hint="eastAsia" w:ascii="黑体" w:hAnsi="黑体" w:eastAsia="黑体"/>
          <w:color w:val="000000"/>
          <w:sz w:val="32"/>
          <w:szCs w:val="32"/>
        </w:rPr>
        <w:t>十</w:t>
      </w:r>
      <w:r>
        <w:rPr>
          <w:rStyle w:val="15"/>
          <w:rFonts w:hint="eastAsia" w:ascii="黑体" w:hAnsi="黑体" w:eastAsia="黑体"/>
        </w:rPr>
        <w:t>、</w:t>
      </w:r>
      <w:r>
        <w:rPr>
          <w:rStyle w:val="15"/>
          <w:rFonts w:hint="eastAsia" w:ascii="黑体" w:hAnsi="黑体" w:eastAsia="黑体"/>
          <w:b w:val="0"/>
        </w:rPr>
        <w:t>其他重要事项的情况说明</w:t>
      </w:r>
    </w:p>
    <w:p>
      <w:pPr>
        <w:spacing w:line="600" w:lineRule="exact"/>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卫健局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82.35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129.73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61.17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highlight w:val="none"/>
          <w14:textFill>
            <w14:solidFill>
              <w14:schemeClr w14:val="tx1"/>
            </w14:solidFill>
          </w14:textFill>
        </w:rPr>
        <w:t>主要原因是</w:t>
      </w:r>
      <w:r>
        <w:rPr>
          <w:rFonts w:hint="eastAsia" w:ascii="仿宋_GB2312" w:eastAsia="仿宋_GB2312"/>
          <w:color w:val="000000" w:themeColor="text1"/>
          <w:sz w:val="32"/>
          <w:szCs w:val="32"/>
          <w:highlight w:val="none"/>
          <w:lang w:eastAsia="zh-CN"/>
          <w14:textFill>
            <w14:solidFill>
              <w14:schemeClr w14:val="tx1"/>
            </w14:solidFill>
          </w14:textFill>
        </w:rPr>
        <w:t>机关实行节约政策，开源节流。</w:t>
      </w:r>
    </w:p>
    <w:p>
      <w:pPr>
        <w:autoSpaceDE w:val="0"/>
        <w:autoSpaceDN w:val="0"/>
        <w:adjustRightInd w:val="0"/>
        <w:spacing w:line="600" w:lineRule="exact"/>
        <w:jc w:val="left"/>
        <w:outlineLvl w:val="2"/>
        <w:rPr>
          <w:rFonts w:ascii="仿宋" w:hAnsi="仿宋" w:eastAsia="仿宋"/>
          <w:b/>
          <w:color w:val="000000"/>
          <w:sz w:val="32"/>
          <w:szCs w:val="32"/>
        </w:rPr>
      </w:pPr>
      <w:bookmarkStart w:id="36" w:name="_Toc15377223"/>
      <w:r>
        <w:rPr>
          <w:rFonts w:hint="eastAsia" w:ascii="仿宋" w:hAnsi="仿宋" w:eastAsia="仿宋"/>
          <w:b/>
          <w:color w:val="000000"/>
          <w:sz w:val="32"/>
          <w:szCs w:val="32"/>
        </w:rPr>
        <w:t>（二）政府采购支出情况</w:t>
      </w:r>
      <w:bookmarkEnd w:id="3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卫健局机关</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卫健局机关</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bookmarkEnd w:id="28"/>
    <w:bookmarkEnd w:id="29"/>
    <w:p>
      <w:pPr>
        <w:spacing w:line="600" w:lineRule="exact"/>
        <w:outlineLvl w:val="2"/>
        <w:rPr>
          <w:rFonts w:hint="eastAsia" w:ascii="黑体" w:hAnsi="黑体" w:eastAsia="黑体" w:cs="Times New Roman"/>
          <w:color w:val="000000"/>
          <w:kern w:val="2"/>
          <w:sz w:val="32"/>
          <w:szCs w:val="32"/>
          <w:lang w:val="en-US" w:eastAsia="zh-CN" w:bidi="ar-SA"/>
        </w:rPr>
      </w:pPr>
      <w:bookmarkStart w:id="37" w:name="_Toc15377224"/>
      <w:r>
        <w:rPr>
          <w:rFonts w:hint="eastAsia" w:ascii="黑体" w:hAnsi="黑体" w:eastAsia="黑体" w:cs="Times New Roman"/>
          <w:color w:val="000000"/>
          <w:kern w:val="2"/>
          <w:sz w:val="32"/>
          <w:szCs w:val="32"/>
          <w:lang w:val="en-US" w:eastAsia="zh-CN" w:bidi="ar-SA"/>
        </w:rPr>
        <w:t>（四）预算绩效管理情况</w:t>
      </w:r>
      <w:bookmarkEnd w:id="37"/>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医疗服务能力提升补助资金项目、基本药物制度补助资金项目、计划生育转移支付资金项目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个项目开展了绩效目标完成情况自评。</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医疗服务能力提升补助资金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基本药物制度补助资金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计划生育转移支付资金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个项目绩效目标实际完成情况。</w:t>
      </w:r>
    </w:p>
    <w:p>
      <w:pPr>
        <w:widowControl/>
        <w:spacing w:line="315" w:lineRule="atLeas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医疗服务能力提升补助资金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546.26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546.26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%。通过项目实施，促进医院发展基础进一步夯实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医疗服务能力进一步增强，</w:t>
      </w:r>
      <w:r>
        <w:rPr>
          <w:rFonts w:hint="eastAsia" w:ascii="仿宋_GB2312" w:hAnsi="仿宋_GB2312" w:eastAsia="仿宋_GB2312" w:cs="仿宋_GB2312"/>
          <w:sz w:val="32"/>
          <w:szCs w:val="32"/>
          <w:lang w:val="en-US" w:eastAsia="zh-CN"/>
        </w:rPr>
        <w:t>发现的主要问题：财政补助水平偏低，资金使用需进一步规范，患者满意度不高。</w:t>
      </w:r>
      <w:r>
        <w:rPr>
          <w:rFonts w:hint="eastAsia" w:ascii="仿宋_GB2312" w:hAnsi="仿宋_GB2312" w:eastAsia="仿宋_GB2312" w:cs="仿宋_GB2312"/>
          <w:sz w:val="32"/>
          <w:szCs w:val="32"/>
        </w:rPr>
        <w:t>下一步改进措施：对绩效评价中反映的共性问题，进行认真梳理，逐一核实，是制度缺陷或不足的，要修订和补充完善相关制度，从根源上防止问题和情况的出现；对各项目单位发现的个性问题，积极</w:t>
      </w:r>
      <w:r>
        <w:rPr>
          <w:rFonts w:hint="eastAsia" w:ascii="仿宋_GB2312" w:hAnsi="仿宋_GB2312" w:eastAsia="仿宋_GB2312" w:cs="仿宋_GB2312"/>
          <w:sz w:val="32"/>
          <w:szCs w:val="32"/>
          <w:lang w:eastAsia="zh-CN"/>
        </w:rPr>
        <w:t>督促</w:t>
      </w:r>
      <w:bookmarkStart w:id="55" w:name="_GoBack"/>
      <w:bookmarkEnd w:id="55"/>
      <w:r>
        <w:rPr>
          <w:rFonts w:hint="eastAsia" w:ascii="仿宋_GB2312" w:hAnsi="仿宋_GB2312" w:eastAsia="仿宋_GB2312" w:cs="仿宋_GB2312"/>
          <w:sz w:val="32"/>
          <w:szCs w:val="32"/>
        </w:rPr>
        <w:t>项目单位建立问题</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，采取销号式的方式，逐一将问题解决，杜绝问题情况的出现。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基本药物制度补助资金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674.4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674.4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%。通过项目实施，提高了乡村医生的收入，不断健全完善基层</w:t>
      </w:r>
      <w:r>
        <w:rPr>
          <w:rFonts w:hint="eastAsia" w:ascii="仿宋_GB2312" w:hAnsi="仿宋_GB2312" w:eastAsia="仿宋_GB2312" w:cs="仿宋_GB2312"/>
          <w:sz w:val="32"/>
          <w:szCs w:val="32"/>
          <w:lang w:eastAsia="zh-CN"/>
        </w:rPr>
        <w:t>卫生机构</w:t>
      </w:r>
      <w:r>
        <w:rPr>
          <w:rFonts w:hint="eastAsia" w:ascii="仿宋_GB2312" w:hAnsi="仿宋_GB2312" w:eastAsia="仿宋_GB2312" w:cs="仿宋_GB2312"/>
          <w:sz w:val="32"/>
          <w:szCs w:val="32"/>
        </w:rPr>
        <w:t>管理工作，发现的主要问题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基药补助按照突出改革、注重实效、激励先进、绩效考核、量效挂钩的原则进行，零采量机构不分配，凡考核发现未执行药品零差率销售的不予分配资。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计划生育转移支付资金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696.936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696.936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进一步完善计划生育利益导向机制，促进人口计生工作的新发展，下一步改进措施：将进一步加大工作力度，进一步做好政策宣传，资格审核，监督管理等相关工作，进一步将工作做细、做实。</w:t>
      </w:r>
    </w:p>
    <w:tbl>
      <w:tblPr>
        <w:tblStyle w:val="10"/>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color w:val="000000"/>
                <w:kern w:val="0"/>
                <w:sz w:val="36"/>
                <w:szCs w:val="36"/>
              </w:rPr>
              <w:t>2019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eastAsia="zh-CN"/>
              </w:rPr>
              <w:t>医疗服务能力提升补助资金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开江县卫生健督促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546.26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546.26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546.26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546.26</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县级公立医院综合改革个数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专科医师规范化培训在培人数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农村订单定向免费医学生培养在培人数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县级公立医院医疗服务能力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逐步提高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逐步提高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现代医院管理制度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逐步完善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逐步完善</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乡镇卫生院和社区卫生服务中心临床业务骨干培训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2019年12月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公立医院患者满意度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r>
    </w:tbl>
    <w:p>
      <w:pPr>
        <w:spacing w:line="570" w:lineRule="exact"/>
        <w:ind w:firstLine="640" w:firstLineChars="200"/>
        <w:rPr>
          <w:rFonts w:hint="eastAsia"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color w:val="000000"/>
                <w:kern w:val="0"/>
                <w:sz w:val="36"/>
                <w:szCs w:val="36"/>
              </w:rPr>
              <w:t>2019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基本药物制度补助资金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开江县卫生健康局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625.9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625.9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625.9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24"/>
              </w:rPr>
            </w:pPr>
            <w:r>
              <w:rPr>
                <w:rFonts w:hint="eastAsia" w:ascii="宋体" w:hAnsi="宋体" w:cs="宋体"/>
                <w:color w:val="000000"/>
                <w:sz w:val="24"/>
                <w:lang w:val="en-US" w:eastAsia="zh-CN"/>
              </w:rPr>
              <w:t>625.9</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政府办基层医疗卫生机构实施国家基本药物制度覆盖率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村卫生室实施国家基本药物制度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乡村医生收入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提高了乡村医生的收入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bCs/>
                <w:color w:val="000000"/>
                <w:sz w:val="24"/>
              </w:rPr>
            </w:pPr>
            <w:r>
              <w:rPr>
                <w:rFonts w:hint="eastAsia" w:ascii="宋体" w:hAnsi="宋体" w:cs="宋体"/>
                <w:color w:val="000000"/>
                <w:sz w:val="24"/>
              </w:rPr>
              <w:t>提高了乡村医生的收入</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eastAsiaTheme="minorEastAsia"/>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国家基本药物制度在基层持续实施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保证了基层社区机构的正常运营，稳定了乡村医生队伍，实惠了广大用药群众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保证了基层社区机构的正常运营，稳定了乡村医生队伍，实惠了广大用药群众</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lang w:eastAsia="zh-CN"/>
              </w:rPr>
              <w:t>（</w:t>
            </w:r>
            <w:r>
              <w:rPr>
                <w:rFonts w:hint="eastAsia" w:ascii="宋体" w:hAnsi="宋体" w:cs="宋体"/>
                <w:color w:val="000000"/>
                <w:kern w:val="0"/>
                <w:sz w:val="36"/>
                <w:szCs w:val="36"/>
              </w:rPr>
              <w:t>2019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计划生育转移支付资金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开江县卫生健康局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696.936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696.936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696.936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696.936</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农村部分计划生育家庭奖励人数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5183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5183</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扶助独生子女伤残家庭人数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57</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扶助独生子女死亡家庭人数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扶助计划生育手术并发症人数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78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78</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资金到位率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家庭发展能力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80%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社会稳定水平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95%</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100%</w:t>
            </w: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按要求对2019年部门整体支出绩效评价情况开展自评，《</w:t>
      </w:r>
      <w:r>
        <w:rPr>
          <w:rFonts w:hint="eastAsia" w:ascii="仿宋_GB2312" w:hAnsi="仿宋_GB2312" w:eastAsia="仿宋_GB2312" w:cs="仿宋_GB2312"/>
          <w:sz w:val="32"/>
          <w:szCs w:val="32"/>
          <w:lang w:eastAsia="zh-CN"/>
        </w:rPr>
        <w:t>开江县卫生健康局</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医疗服务能力提升补助资金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基本药物制度补助资金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计划生育转移支付资金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个项目开展了绩效评价，《</w:t>
      </w:r>
      <w:r>
        <w:rPr>
          <w:rFonts w:hint="eastAsia" w:ascii="仿宋_GB2312" w:hAnsi="仿宋_GB2312" w:eastAsia="仿宋_GB2312" w:cs="仿宋_GB2312"/>
          <w:sz w:val="32"/>
          <w:szCs w:val="32"/>
          <w:lang w:eastAsia="zh-CN"/>
        </w:rPr>
        <w:t>医疗服务能力提升补助资金</w:t>
      </w:r>
      <w:r>
        <w:rPr>
          <w:rFonts w:hint="eastAsia" w:ascii="仿宋_GB2312" w:hAnsi="仿宋_GB2312" w:eastAsia="仿宋_GB2312" w:cs="仿宋_GB2312"/>
          <w:sz w:val="32"/>
          <w:szCs w:val="32"/>
        </w:rPr>
        <w:t>项目2019年绩效评价报告》见附件（附件2）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基本药物制度补助资金</w:t>
      </w:r>
      <w:r>
        <w:rPr>
          <w:rFonts w:hint="eastAsia" w:ascii="仿宋_GB2312" w:hAnsi="仿宋_GB2312" w:eastAsia="仿宋_GB2312" w:cs="仿宋_GB2312"/>
          <w:sz w:val="32"/>
          <w:szCs w:val="32"/>
        </w:rPr>
        <w:t>项目2019年绩效评价报告》见附件（附件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计划生育转移支付资金</w:t>
      </w:r>
      <w:r>
        <w:rPr>
          <w:rFonts w:hint="eastAsia" w:ascii="仿宋_GB2312" w:hAnsi="仿宋_GB2312" w:eastAsia="仿宋_GB2312" w:cs="仿宋_GB2312"/>
          <w:sz w:val="32"/>
          <w:szCs w:val="32"/>
        </w:rPr>
        <w:t>项目2019年绩效评价报告》见附件（附件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numPr>
          <w:ilvl w:val="0"/>
          <w:numId w:val="3"/>
        </w:numPr>
        <w:spacing w:line="600" w:lineRule="exact"/>
        <w:ind w:firstLine="660" w:firstLineChars="150"/>
        <w:jc w:val="center"/>
        <w:outlineLvl w:val="0"/>
        <w:rPr>
          <w:rStyle w:val="16"/>
          <w:rFonts w:ascii="黑体" w:hAnsi="黑体" w:eastAsia="黑体"/>
          <w:b w:val="0"/>
        </w:rPr>
      </w:pPr>
      <w:bookmarkStart w:id="38" w:name="_Toc15396613"/>
      <w:bookmarkStart w:id="39" w:name="_Toc15377225"/>
      <w:r>
        <w:rPr>
          <w:rFonts w:hint="eastAsia" w:ascii="黑体" w:hAnsi="黑体" w:eastAsia="黑体"/>
          <w:color w:val="000000"/>
          <w:sz w:val="44"/>
          <w:szCs w:val="44"/>
        </w:rPr>
        <w:t>名</w:t>
      </w:r>
      <w:r>
        <w:rPr>
          <w:rStyle w:val="16"/>
          <w:rFonts w:hint="eastAsia" w:ascii="黑体" w:hAnsi="黑体" w:eastAsia="黑体"/>
          <w:b w:val="0"/>
        </w:rPr>
        <w:t>词解释</w:t>
      </w:r>
      <w:bookmarkEnd w:id="38"/>
      <w:bookmarkEnd w:id="39"/>
    </w:p>
    <w:p>
      <w:pPr>
        <w:spacing w:line="600" w:lineRule="exact"/>
        <w:jc w:val="left"/>
        <w:rPr>
          <w:rFonts w:ascii="宋体"/>
          <w:b/>
          <w:color w:val="000000"/>
          <w:sz w:val="44"/>
          <w:szCs w:val="44"/>
        </w:rPr>
      </w:pPr>
    </w:p>
    <w:p>
      <w:pPr>
        <w:pStyle w:val="1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r>
        <w:rPr>
          <w:rFonts w:hint="eastAsia" w:ascii="仿宋_GB2312" w:eastAsia="仿宋_GB2312"/>
          <w:sz w:val="32"/>
          <w:szCs w:val="32"/>
          <w:lang w:eastAsia="zh-CN"/>
        </w:rPr>
        <w:t>。</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按规定用于烈士和牺牲、病故人员家属的一次性和定期抚恤金以及丧葬补助费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反映除上述项目以外其他用于社会保障和就业方面的支出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卫生健康管理事务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卫生健康管理事务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其他卫生健康管理事务支出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反映除上述项目以外其他用于卫生健康管理事务方面的支出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重大公共卫生专项</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反映重大疾病预防控制等重大公共卫生服务项目支出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反映除上述项目以外的其他用于公共卫生方面的支出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反映中医（民族医）药方面的专项支出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其他计划生育事务支出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反映除上述项目以外其他用于计划生育管理事务方面的支出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反映财政部门集中安排的行政单位基本医疗保险缴费经费，未参加医疗保险的行政单位的公费医疗经费，按国家规定享受离休人员、红军老战士待遇人员的医疗经费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21、</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反映财政部门集中安排的公务员医疗补助经费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22、</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其他卫生健康支出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其他卫生健康支出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反映除上述项目以外其他用于卫生健康方面的支出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23、住房保障</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28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kern w:val="0"/>
          <w:sz w:val="32"/>
          <w:szCs w:val="32"/>
        </w:rPr>
      </w:pPr>
    </w:p>
    <w:p>
      <w:pPr>
        <w:spacing w:line="580" w:lineRule="exact"/>
        <w:ind w:firstLine="640" w:firstLineChars="200"/>
        <w:rPr>
          <w:rFonts w:hint="eastAsia" w:ascii="仿宋_GB2312" w:hAnsi="仿宋_GB2312" w:eastAsia="仿宋_GB2312" w:cs="仿宋_GB2312"/>
          <w:kern w:val="0"/>
          <w:sz w:val="32"/>
          <w:szCs w:val="32"/>
        </w:rPr>
      </w:pPr>
    </w:p>
    <w:p>
      <w:pPr>
        <w:spacing w:line="580" w:lineRule="exact"/>
        <w:rPr>
          <w:rFonts w:hint="eastAsia" w:ascii="仿宋_GB2312" w:hAnsi="仿宋_GB2312" w:eastAsia="仿宋_GB2312" w:cs="仿宋_GB2312"/>
          <w:kern w:val="0"/>
          <w:sz w:val="32"/>
          <w:szCs w:val="32"/>
        </w:rPr>
      </w:pPr>
    </w:p>
    <w:p>
      <w:pPr>
        <w:spacing w:line="600" w:lineRule="exact"/>
        <w:jc w:val="center"/>
        <w:outlineLvl w:val="0"/>
        <w:rPr>
          <w:rStyle w:val="16"/>
          <w:rFonts w:ascii="黑体" w:hAnsi="黑体" w:eastAsia="黑体"/>
          <w:b w:val="0"/>
        </w:rPr>
      </w:pPr>
      <w:bookmarkStart w:id="40" w:name="_Toc15396614"/>
      <w:r>
        <w:rPr>
          <w:rFonts w:hint="eastAsia" w:ascii="黑体" w:hAnsi="黑体" w:eastAsia="黑体"/>
          <w:color w:val="000000"/>
          <w:sz w:val="44"/>
          <w:szCs w:val="44"/>
        </w:rPr>
        <w:t>第</w:t>
      </w:r>
      <w:r>
        <w:rPr>
          <w:rStyle w:val="16"/>
          <w:rFonts w:hint="eastAsia" w:ascii="黑体" w:hAnsi="黑体" w:eastAsia="黑体"/>
          <w:b w:val="0"/>
        </w:rPr>
        <w:t>四部分 附件</w:t>
      </w:r>
      <w:bookmarkEnd w:id="40"/>
    </w:p>
    <w:p>
      <w:pPr>
        <w:spacing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left"/>
        <w:outlineLvl w:val="0"/>
        <w:rPr>
          <w:rFonts w:hint="eastAsia" w:ascii="黑体" w:hAnsi="黑体" w:eastAsia="黑体" w:cs="黑体"/>
          <w:sz w:val="32"/>
          <w:szCs w:val="32"/>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卫生健康局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spacing w:line="580" w:lineRule="exact"/>
        <w:ind w:firstLine="640" w:firstLineChars="200"/>
        <w:rPr>
          <w:rFonts w:hint="eastAsia" w:ascii="仿宋_GB2312" w:hAnsi="仿宋_GB2312" w:eastAsia="仿宋_GB2312" w:cs="仿宋_GB2312"/>
          <w:kern w:val="0"/>
          <w:sz w:val="32"/>
          <w:szCs w:val="32"/>
        </w:rPr>
      </w:pP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为确实做好2019年度部门整体支出绩效自评工作，提高财政资金使用效益，根据《开江县财政局关于开展县级财政资金绩效自评工作的通知》文件精神，结合实际，我单位组织成立了绩效评价工作小组，评价小组采取座谈等方式听取情况，检查基本支出、项目支出有关账目，收集整理支出相关资料，并根据各股室报送的绩效自评材料进行分析、总结，现将我单位整体支出绩效自评结果报告如下：</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一、部门基本情况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（一）机构、人员构成</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开江县卫生健康局成立于2019年3月，属于行政单位，法定代表人是阮德章。法定地址为四川省开江县新宁镇199号。我局经机构管理部门核定编制人数为120人，在编在岗人员101人，其中：行政编制30人，工勤编制7人，事业编制64人。</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（二）单位主要职责</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开江县卫生健康局主要职能是以行政主管，公共卫生服务为主，综合提供预防、保健和计划生育等服务。</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二、2019年整体收支情况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2019年收入预算为1031.96万元，其中：财政拨款收入1031.96万元，占100.00%；纳入预算管理非税收入0.00万元，占0.00%。支出预算中，基本支出952.2万元，占92.27%，项目支出79.76万元占7.73%，其他支出0.00万元占0.00%。        2019年总支出为1033.81万元，其中基本支出954.05万元、项目支出79.76万元。基本支出954.05万元，其中：工资福利支出847.37万元、商品和服务支出62.5万元、对个人和家庭的补助44.18万元、其他资本性支出0万元。</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项目支出79.76万元。</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三、部门整体支出管理及使用情况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（一）2019年度预算基本情况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2019年收入预算为1031.96万元，其中：财政拨款收入1031.96万元，占100.00%；纳入预算管理非税收入0.00万元，占0.00%。支出预算中，基本支出952.2万元，占92.27%，项目支出79.76万元占7.73%，其他支出0.00万元占0.00%。</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（二）2019年度收支决算情况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 2019年度收入决算情况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2019年度总收入1031.96万元，其中：财政拨款收入1031.96万元，占100%。</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2．2019年度支出决算情况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2019年度总支出1033.81万元，其中基本支出954.05万元占总支出比例92.23%、项目支出79.76万元占7.77%。</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基本支出954.05万元，其中：工资福利支出847.37万元占基本支出比例88.82%，商品和服务支出62.5万元占基本支出比例6.55%、对个人和家庭的补助支出44.18万元占基本支出比例4.63%；其他资本性支出0.00万元占基本支出比例0.00%。</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项目支出79.76万元。</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（三）基本支出使用管理情况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基本支出用于为保障机构正常运转、完成日常工作任务而发生的支出，包括人员经费和公用经费。2019年度本单位人员经费847.37万元占基本支出比例88.82%，较年初预算减少比例较大的主要原因是本年度人员调出和退休；公用经费支出62.5万元占基本支出比例6.55%。本年度基本支出与调整后的预算基本一致。</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（四）项目支出使用管理情况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项目支出79.76万元。本年度项目支出与调整后的预算基本一致。</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（五）“三公”经费使用管理情况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 2019年“三公”经费预算情况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本单位2019年“三公”经费预算（控制数）金额为0.5万元，其中公务接待费0.5万元，公车运行维护费0万元。</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2．“三公”经费预算执行情况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度“三公”经费支出决算为0.34万元，完成预算的68%，其中：因公出国（境）费支出决算为0万元（因公出国组团0次，因公出国0人次），完成预算的0%；公务用车购置及运行费支出决算为0万元，完成预算的0%；公务接待费支出决算为0.34万元（国内公务接待3批，共计68人；国外公务接待0批，共计0人），完成预算的68%。</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（六）部门内部控制及厉行节约制度建设情况</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 加强内部控制。我单位历来重视单位内部管理制度建设及监督，加强财务管理，强化财务监督，增强法纪观念，遵守规章制度。为保证财务管理工作规范有序进行，2019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并一支笔签批财务单据。开支金额在一万元以下的由分管财务的领导直接把关签批；开支金额在三万元以下、一万元以上的需出示专题报告，经单位主要领导把关在报告上签署意见后，再履行“一单五签”的程序；非日常开支在三万元以上的，专题报告需经会议研究通过。分管财务的领导经手的费用开支，由主要领导签批。</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 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各项费用严格履行“一单五签”程序，“三公”经费较好地控制在预算范围之内。</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 2019年整体支出绩效评价结论及建议</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1、预算编制工作有待细化。预算编制不够明确和细化，预算编制的合理性需要提高，预算执行力度还要进一步加强。</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2、因单位全额编制少导致经费不足：绩效工资和日常公用经费不足、与实际支出相差较大。</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3、公用经费控制有一定难度，基本为刚性支出。</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widowControl/>
        <w:spacing w:line="480" w:lineRule="auto"/>
        <w:ind w:firstLine="480"/>
        <w:rPr>
          <w:rFonts w:hint="eastAsia" w:ascii="仿宋_GB2312" w:hAnsi="仿宋_GB2312" w:eastAsia="仿宋_GB2312" w:cs="仿宋_GB2312"/>
          <w:kern w:val="0"/>
          <w:sz w:val="32"/>
          <w:szCs w:val="32"/>
        </w:rPr>
      </w:pPr>
      <w:r>
        <w:rPr>
          <w:rFonts w:hint="eastAsia" w:ascii="仿宋_GB2312" w:hAnsi="Calibri" w:eastAsia="仿宋_GB2312" w:cs="仿宋"/>
          <w:color w:val="000000"/>
          <w:kern w:val="0"/>
          <w:sz w:val="32"/>
          <w:szCs w:val="32"/>
          <w:lang w:val="en-US" w:eastAsia="zh-CN" w:bidi="ar-SA"/>
        </w:rPr>
        <w:t>7、对相关人员加强培训，特别是针对《预算法》《行政事业单位会计制度》等学习培训，规范部门预算收支核算，切实提高部门预算收支管理水平。</w:t>
      </w: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lang w:eastAsia="zh-CN"/>
        </w:rPr>
      </w:pPr>
    </w:p>
    <w:p>
      <w:pPr>
        <w:widowControl/>
        <w:spacing w:line="480" w:lineRule="auto"/>
        <w:ind w:firstLine="480"/>
        <w:rPr>
          <w:rFonts w:hint="eastAsia" w:ascii="仿宋_GB2312" w:hAnsi="仿宋_GB2312" w:eastAsia="仿宋_GB2312" w:cs="仿宋_GB2312"/>
          <w:kern w:val="0"/>
          <w:sz w:val="32"/>
          <w:szCs w:val="32"/>
          <w:lang w:eastAsia="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widowControl/>
        <w:spacing w:line="480" w:lineRule="auto"/>
        <w:rPr>
          <w:rFonts w:hint="eastAsia" w:ascii="仿宋_GB2312" w:hAnsi="仿宋_GB2312" w:eastAsia="仿宋_GB2312" w:cs="仿宋_GB2312"/>
          <w:kern w:val="0"/>
          <w:sz w:val="32"/>
          <w:szCs w:val="32"/>
          <w:lang w:eastAsia="zh-CN"/>
        </w:rPr>
      </w:pPr>
    </w:p>
    <w:p>
      <w:pPr>
        <w:jc w:val="center"/>
        <w:rPr>
          <w:rFonts w:ascii="宋体" w:hAnsi="宋体" w:eastAsia="宋体" w:cs="宋体"/>
          <w:b/>
          <w:sz w:val="36"/>
          <w:szCs w:val="44"/>
        </w:rPr>
      </w:pPr>
      <w:r>
        <w:rPr>
          <w:rFonts w:hint="eastAsia" w:ascii="方正小标宋简体" w:hAnsi="宋体" w:eastAsia="方正小标宋简体" w:cs="Times New Roman"/>
          <w:color w:val="000000"/>
          <w:kern w:val="0"/>
          <w:sz w:val="44"/>
          <w:szCs w:val="44"/>
        </w:rPr>
        <w:t>四川省开江县医疗服务能力提升补助资金专项转移支付2019年度绩效自评报告</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一、绩效目标分解下达情况</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（一）中央下达医疗服务能力提升补助资金专项转移支付预算和绩效目标情况。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2019年县级公立医院综合改革和农村订单定向医学生免费培养中央预算资金291.66万元，要完成对全县2家公立医院改革和5名农村订单定向医学生培养。</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（二）省内分解下达预算和绩效目标情况。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医疗服务能力提升补助资金省财政预算资金254.6万元，要完成对全县2家公立医院改革和5名农村订单定向医学生培养以及20名全科医生转岗培训、5名全科医生特设岗位招聘、20个基层医疗机构卫生计生人才能力建设。</w:t>
      </w:r>
      <w:r>
        <w:rPr>
          <w:rFonts w:hint="eastAsia" w:ascii="仿宋_GB2312" w:hAnsi="Calibri" w:eastAsia="仿宋_GB2312" w:cs="仿宋"/>
          <w:color w:val="000000"/>
          <w:kern w:val="0"/>
          <w:sz w:val="32"/>
          <w:szCs w:val="32"/>
          <w:lang w:val="en-US" w:eastAsia="zh-CN" w:bidi="ar-SA"/>
        </w:rPr>
        <w:tab/>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二、绩效目标完成情况分析</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（一）资金投入情况分析。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1.项目资金到位情况分析。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2019年中央财政下拨资金291.66万元，省级财政下拨254.6万元，资金到位率100%。</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（二）项目资金执行情况分析。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2019年医疗服务能力提升各项补助资金在12月30日前已经全部拨付到各项目实施单位，资金拨付率100%。</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（三）项目资金管理情况分析。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坚持专款专用的原则，严格按照规定的范围、标准和程序管理使用资金；财务管理规范、有序。主要体现在四个方面，一是健全制度，各单位根据财务会计制度，结合实际出台了关于专项资金管理的规章制度，扩大了范围、规范了管理。二是支付严谨，各相关部门都能够按照资金管理规定和办法，及时有序审核费用，保障项目的顺利实施，未出现截留、挤占、挪用、虚列支出等情况。三是管理扎实，各单位专项资金财务管理基础扎实，管理部门和管理人员都能够按照会计制度要求，进行账务处理，提供真实、合法的财务报表及相关财务资料，可靠、全面、及时地反映项目执行情况，会计质量较高。四是监督到位，建立台账记录资产使用情况；单独建立台账记录项目支出使用情况。不定期对台账进行核对，保证账目清楚、数字一致。</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（四）绩效目标完成情况分析。（根据年初绩效目标及指标逐项分析）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1.产出指标完成情况分析。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（1）数量指标。</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2019年完成对全县2家公立医院改革和5名农村订单定向医学生培养以及20名全科医生转岗培训、5名全科医生特设岗位招聘、20个基层医疗机构卫生计生人才能力建设，完成率100%。</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（2）质量指标。</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全部完成了年初制定的绩效目标任务，医院发展基础进一步夯实 ，医疗服务能力进一步增强。 </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（3）时效指标。</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2019年医疗服务能力提升补助资金在12月30日前已全部拨付到各项目实施单位。</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（4）成本指标。</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2.效益指标完成情况分析。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（1）社会效益。</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医疗服务能力提升补助资金充分体现了党和政府对卫生事业的关心和支持，在目前卫生投入不足的情况下，一定程度上缓解了卫生计生机构经费压力，使各单位可以将有限的财力投入到事业发展中，有利于进一步提升医疗卫生服务能力和水平，更好地为人民群众服务。</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（2）生态效益。</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（3）可持续影响。</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医疗服务能力提升补助资金管理使用规范、效果明显、十分必要，建议继续保持项目的延续性，逐年加大项目投入力度，直至逐步达到国家有关建设标准。</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3.满意度指标完成情况分析。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各项目单位均建立了患者满意度监测制度，努力提高服务水平和服务质量。根据平时公众和服务对象满意度调查，各单位患者满意度均在90%以上。</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三、偏离绩效目标的原因和下一步改进措施</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（一）项目实施存在的问题</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1、财政补助水平偏低。</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2、资金使用需进一步规范。部分项目单位人员项目采购招标、项目建设的过程中，对政策法规、业务流程不熟悉，造成资金使用进度缓慢。</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3、患者满意度不高。医院在就医环境、服务态度、服务质量、就医等候时间等方面与患者的要求还存在一定差距，患者满意度需要进一步提高。</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（二）整改措施</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针对绩效评价过程中发现的问题和情况，按照要求进行整改，一是对绩效评价中反映的共性问题，进行认真梳理，逐一核实，是制度缺陷或不足的，要修订和补充完善相关制度，从根源上防止问题和情况的出现；二是对各项目单位发现的个性问题，积极敦促项目单位建立问题台账，采取销号式的方式，逐一将问题解决，杜绝问题情况的出现。</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四、绩效自评结果拟应用和公开情况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医疗服务能力提升补助资金在项目单位自我评价的基础上，经市卫生健康委绩效评价组现场核实，对各项目单位医疗卫生服务能力建设专项资金使用绩效进行了综合评定，认为全市医疗卫生服务能力建设专项资金的管理使用规范、资金使用效率明显，成效显著。</w:t>
      </w:r>
    </w:p>
    <w:p>
      <w:pPr>
        <w:widowControl/>
        <w:spacing w:line="480" w:lineRule="auto"/>
        <w:ind w:firstLine="480"/>
        <w:rPr>
          <w:rFonts w:hint="eastAsia" w:ascii="仿宋_GB2312" w:hAnsi="Calibri" w:eastAsia="仿宋_GB2312" w:cs="仿宋"/>
          <w:color w:val="000000"/>
          <w:kern w:val="0"/>
          <w:sz w:val="32"/>
          <w:szCs w:val="32"/>
          <w:lang w:val="en-US" w:eastAsia="zh-CN" w:bidi="ar-SA"/>
        </w:rPr>
      </w:pPr>
    </w:p>
    <w:p>
      <w:pPr>
        <w:widowControl/>
        <w:spacing w:line="480" w:lineRule="auto"/>
        <w:ind w:firstLine="480"/>
        <w:rPr>
          <w:rFonts w:hint="eastAsia" w:ascii="仿宋_GB2312" w:hAnsi="Calibri" w:eastAsia="仿宋_GB2312" w:cs="仿宋"/>
          <w:color w:val="000000"/>
          <w:kern w:val="0"/>
          <w:sz w:val="32"/>
          <w:szCs w:val="32"/>
          <w:lang w:val="en-US" w:eastAsia="zh-CN" w:bidi="ar-SA"/>
        </w:rPr>
      </w:pPr>
    </w:p>
    <w:p>
      <w:pPr>
        <w:widowControl/>
        <w:spacing w:line="480" w:lineRule="auto"/>
        <w:ind w:firstLine="480"/>
        <w:rPr>
          <w:rFonts w:hint="eastAsia" w:ascii="仿宋_GB2312" w:hAnsi="Calibri" w:eastAsia="仿宋_GB2312" w:cs="仿宋"/>
          <w:color w:val="000000"/>
          <w:kern w:val="0"/>
          <w:sz w:val="32"/>
          <w:szCs w:val="32"/>
          <w:lang w:val="en-US" w:eastAsia="zh-CN" w:bidi="ar-SA"/>
        </w:rPr>
      </w:pPr>
    </w:p>
    <w:p>
      <w:pPr>
        <w:widowControl/>
        <w:spacing w:line="480" w:lineRule="auto"/>
        <w:ind w:firstLine="480"/>
        <w:rPr>
          <w:rFonts w:hint="eastAsia" w:ascii="仿宋_GB2312" w:hAnsi="Calibri" w:eastAsia="仿宋_GB2312" w:cs="仿宋"/>
          <w:color w:val="000000"/>
          <w:kern w:val="0"/>
          <w:sz w:val="32"/>
          <w:szCs w:val="32"/>
          <w:lang w:val="en-US" w:eastAsia="zh-CN" w:bidi="ar-SA"/>
        </w:rPr>
      </w:pPr>
    </w:p>
    <w:p>
      <w:pPr>
        <w:widowControl/>
        <w:spacing w:line="480" w:lineRule="auto"/>
        <w:ind w:firstLine="480"/>
        <w:rPr>
          <w:rFonts w:hint="eastAsia" w:ascii="仿宋_GB2312" w:hAnsi="Calibri" w:eastAsia="仿宋_GB2312" w:cs="仿宋"/>
          <w:color w:val="000000"/>
          <w:kern w:val="0"/>
          <w:sz w:val="32"/>
          <w:szCs w:val="32"/>
          <w:lang w:val="en-US" w:eastAsia="zh-CN" w:bidi="ar-SA"/>
        </w:rPr>
      </w:pPr>
    </w:p>
    <w:p>
      <w:pPr>
        <w:jc w:val="center"/>
        <w:rPr>
          <w:rFonts w:ascii="宋体" w:hAnsi="宋体" w:eastAsia="宋体" w:cs="宋体"/>
          <w:b/>
          <w:sz w:val="36"/>
          <w:szCs w:val="44"/>
        </w:rPr>
      </w:pPr>
      <w:r>
        <w:rPr>
          <w:rFonts w:hint="eastAsia" w:ascii="方正小标宋简体" w:hAnsi="宋体" w:eastAsia="方正小标宋简体" w:cs="Times New Roman"/>
          <w:color w:val="000000"/>
          <w:kern w:val="0"/>
          <w:sz w:val="44"/>
          <w:szCs w:val="44"/>
        </w:rPr>
        <w:t>四川省开江县基本药物制度专项转移支付2019年度绩效自评报告</w:t>
      </w:r>
    </w:p>
    <w:p>
      <w:pPr>
        <w:jc w:val="center"/>
        <w:rPr>
          <w:rFonts w:ascii="仿宋_GB2312"/>
          <w:szCs w:val="32"/>
        </w:rPr>
      </w:pP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一、绩效目标分解下达情况</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（一）中央下达基本药物制度专项转移支付预算和绩效目标情况。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2019年基本药物制度转移支付中央预算资金439.4万元，要完成对全县21家基层医疗卫生机构和194个村卫生室实施基本药物制度资金补助。</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（二）省内分解下达预算和绩效目标情况。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2019年基本药物制度转移支付省财政预算资金186.5万元，要完成对全县21家基层医疗卫生机构和194个村卫生室实施基本药物制度资金补助。</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二、绩效目标完成情况分析</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（一）资金投入情况分析。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1.项目资金到位情况分析。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2019年中央财政下拨资金439.4万元，省级财政下拨186.5万元，资金到位率100%。</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（二）项目资金执行情况分析。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2019年基本药物制度转移支付补助资金在12月30日前已经全部拨付到各项目实施单位，资金拨付率100%。</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（三）项目资金管理情况分析。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坚持专款专用的原则，严格按照规定的范围、标准和程序管理使用资金；财务管理规范、有序。主要体现在四个方面，一是健全制度，各单位根据财务会计制度，结合实际出台了关于专项资金管理的规章制度，扩大了范围、规范了管理。二是支付严谨，各相关部门都能够按照资金管理规定和办法，及时有序审核费用，保障项目的顺利实施，未出现截留、挤占、挪用、虚列支出等情况。三是管理扎实，各单位专项资金财务管理基础扎实，管理部门和管理人员都能够按照会计制度要求，进行账务处理，提供真实、合法的财务报表及相关财务资料，可靠、全面、及时地反映项目执行情况，会计质量较高。四是监督到位，建立台账记录资产使用情况；单独建立台账记录项目支出使用情况。不定期对台账进行核对，保证账目清楚、数字一致。</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（四）绩效目标完成情况分析。（根据年初绩效目标及指标逐项分析）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1.产出指标完成情况分析。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（1）数量指标。</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2019年完成对全县21家基层医疗卫生机构和194个村卫生室实施基本药物制度资金补助。完成率100%。</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（2）质量指标。</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全部完成了年初制定的绩效目标任务，医院发展基础进一步夯实 ，医疗服务能力进一步增强。 </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（3）时效指标。</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2019年基本药物制度补助资金在12月30日前已全部拨付到各项目实施单位，项目完成率100%.</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（4）成本指标。</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2.效益指标完成情况分析。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（1）经济效益。</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本项目实施减轻患者经济负担和提高乡村医务人员业务收入。</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（2）社会效益。</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项目主要为我县在执行国家基本药物制度的基层医疗卫生服务机构按季度考核后发放补助和为在岗乡村医生按月发放基药补助，目前补助已核发到位，保证了基层社区机构的正常运营，稳定了乡村医生队伍，实惠了广大用药群众，指标已完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（3）生态效益。</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（4）可持续影响。</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通过对我县执行国家基本药物制度的机构和在岗乡村医生给予补助，推动了我区基层社区卫生服务机构的发展，稳定了我区乡医队伍，提高了乡村医生的收入，不断健全完善基层卫生机构管理工作。</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3.满意度指标完成情况分析。</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各项目单位均建立了患者满意度监测制度，努力提高服务水平和服务质量。根据平时公众和服务对象满意度调查，各单位患者满意度均在90%以上。</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三、偏离绩效目标的原因和下一步改进措施</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基药补助按照突出改革、注重实效、激励先进、绩效考核、量效挂钩的原则进行，零采量机构不分配，凡考核发现未执行药品零差率销售的不予分配资。</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四、绩效自评结果拟应用和公开情况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基本药物制度转移支付资金在项目单位自我评价的基础上，经市卫生健康委绩效评价组现场核实，对各项目单位基本药物转移支付资金使用绩效进行了综合评定，认为全市基本药物转移支付资金的管理使用规范、资金使用效率明显，成效显著。</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spacing w:line="600" w:lineRule="exact"/>
        <w:jc w:val="center"/>
        <w:rPr>
          <w:rFonts w:hint="eastAsia" w:ascii="方正小标宋简体" w:hAnsi="宋体" w:eastAsia="方正小标宋简体" w:cs="Times New Roman"/>
          <w:color w:val="000000"/>
          <w:kern w:val="0"/>
          <w:sz w:val="44"/>
          <w:szCs w:val="44"/>
        </w:rPr>
      </w:pPr>
      <w:r>
        <w:rPr>
          <w:rFonts w:hint="eastAsia" w:ascii="方正小标宋简体" w:hAnsi="宋体" w:eastAsia="方正小标宋简体" w:cs="Times New Roman"/>
          <w:color w:val="000000"/>
          <w:kern w:val="0"/>
          <w:sz w:val="44"/>
          <w:szCs w:val="44"/>
        </w:rPr>
        <w:t>开江县卫生健康局</w:t>
      </w:r>
    </w:p>
    <w:p>
      <w:pPr>
        <w:spacing w:line="600" w:lineRule="exact"/>
        <w:jc w:val="center"/>
        <w:rPr>
          <w:rFonts w:ascii="仿宋_GB2312" w:hAnsi="仿宋_GB2312" w:eastAsia="仿宋_GB2312" w:cs="仿宋_GB2312"/>
          <w:sz w:val="44"/>
          <w:szCs w:val="44"/>
        </w:rPr>
      </w:pPr>
      <w:r>
        <w:rPr>
          <w:rFonts w:hint="eastAsia" w:ascii="方正小标宋简体" w:hAnsi="宋体" w:eastAsia="方正小标宋简体" w:cs="Times New Roman"/>
          <w:color w:val="000000"/>
          <w:kern w:val="0"/>
          <w:sz w:val="44"/>
          <w:szCs w:val="44"/>
        </w:rPr>
        <w:t>计划生育四项制度资金绩效自评报告</w:t>
      </w:r>
    </w:p>
    <w:p>
      <w:pPr>
        <w:widowControl/>
        <w:spacing w:line="560" w:lineRule="exact"/>
        <w:ind w:firstLine="640" w:firstLineChars="200"/>
        <w:jc w:val="left"/>
        <w:rPr>
          <w:rFonts w:hint="eastAsia" w:ascii="仿宋_GB2312" w:hAnsi="仿宋_GB2312" w:eastAsia="仿宋_GB2312" w:cs="仿宋_GB2312"/>
          <w:color w:val="000000"/>
          <w:sz w:val="32"/>
          <w:szCs w:val="32"/>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为进一步加强和规范我县农村部分计划生育家庭奖励扶助和计划生育特别扶助资金的管理，根据《开江县财政局关于开展2019年财政支出绩效评价工作的通知》，我局组织人员对全县实施农村部分计划生育家庭奖励扶助制度和计划生育特别扶助的情况进行了一次绩效评价。现将有关情况报告如下：</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一、项目基本概况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开江县农村部分计划生育家庭奖励扶助制度和计划生育家庭特别扶助制度严格按照“四权分离”制约监督机制运行。在资格确认上严格执行四川省卫生和计划生育委员会关于印发《四川省农村部分计划生育家庭奖励扶助政策解释》的通知（川卫发〔2016〕76号）和四川省卫生和计划生育委员会办公室关于印发《四川省农村部分计划生育家庭奖励扶助、计划生育家庭特别扶助工作规范》的通知（川卫发〔2016〕223号）要求进行落实。实施主体是各乡镇人民政府和县卫生健康局。</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二、项目决策及资金使用情况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对全县农村部分计划生育家庭奖励扶助制度和计划生育家庭特别扶助对象资格确认，严格按照窗口申报、年审受理，乡村联合核查，乡级初审、乡级公示、县级复查确认、档案管理工作等多个环节进行。在资格确认上，发挥网络遍及乡村的优势，积极做好资格确认工作，坚持 “三个严格”：一是严格政策界限。二是严格确认程序。三是严格监督管理。</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资金管理上全县所有资金都由县级财政进行管理。统一管理，封闭运行，减少中间环节，防止挤占、挪用和截留，保证了奖励扶助资金运行安全。到每年给对象户发放资金时形成报告形式上报县级政府，再由县级财政将其资金拨付银行。</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我县在资金发放上现在全部实行由银行打卡直发给对象户，其资金由县级财政拨付给开江县农村信任联社，再由银行将资金打卡直发给对象户。</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三、项目组织实施情况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社会监督上，纪检监察部门注重发挥群众和媒体的监督作用，从资格确认的公示，到奖励扶助资金社会化发放，通过设立举报箱、举报电话和网上举报系统，使奖励扶助制度始终置于群众和媒体的监督之下，促使制度的各个环节得以公开、公正、公平地运行。</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奖励扶助和特别扶助制度实施过程中，严格实行了“四权分离”制约与监督机制，即由卫生健康局负责奖励扶助和特别扶助对象资格确认，财政部门负责资金管理，委托金融机构负责资金发放，纪检监察部门负责监督检查，形成各司其职、相互支持、相互制约、立体联动的格局。没有发现一起贪污、挪用、挤占、截留奖励扶助资金的问题，奖励扶助资金及时、足额、便捷地发放到群众手中，取得了良好的社会效果。</w:t>
      </w:r>
    </w:p>
    <w:p>
      <w:pPr>
        <w:widowControl/>
        <w:spacing w:line="480" w:lineRule="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四、项目绩效情况</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开江县农村部分计划生育家庭奖励扶助制度和计划生育家庭特别扶助制度严格落实上级文件要求：一是做好政策宣传。各乡镇充分利用广播电视、宣传栏、标语、发放宣传资料等方式，广泛宣传奖励扶助政策，提高群众政策知晓率，使广大群众熟悉奖励扶助资格的认定条件等内容，做好群众自我申报与监督。二是确定奖扶对象。各乡镇积极开展计划生育奖励扶助、特别扶助及独生子女父母奖励资格确认，按照奖特扶工作的有关要求，严格工作程序，组织人员进村入户走访调查、核实身份、确认对象资格，认真做好摸底调查、评议、上报、公示等工作，切实做到公开透明、公平公正，保证资格确认准确无误。三是严格扶助管理。各乡镇严格工作程序和政策规定，认真做好年审工作，及时对往年的对象户进行年审，对死亡对象及其他原因不符合享受条件的对象及时作出变更，保证了奖特扶工作有序进行。</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度农村部分计划生育奖励扶助、计划生育特别扶助中央财政下拨资金500.3232万元，省级财政下拨资金117.0083万元。这两项资金都按要求全部用于2019年度全县农村部分计划生育奖励扶助、计划生育特别扶助资金发放。</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度上级财政到位资金617.3315万元，县级配套到位资金79.6045万元，共计资金696.936万元。所有资金用打卡直发的方式用于全县5183人农村部分计划生育奖励扶助、267人计划生育特别扶助对象的资金发放。全部按要求完成了年初制定的绩效目标任务。</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对于这次绩效评价的结果来看，实施农村部分计划生育家庭奖励扶助和计划生育家庭特别扶助制度，有利于进一步完善计划生育利益导向机制，促进人口计生工作的新发展，受到了群众的广泛欢迎，取得了比较明显的社会效果，建立和实施计划生育家庭特别扶助制度，通过稳定的制度保障，以利益调节为主要手段，为这些家庭提供多种形式的国家补偿、社会救助和人道关怀，有利于缓解他们由于子女伤残死亡带来的生活困难和精神痛苦，使他们精神上获得慰藉，生活上得到帮助。</w:t>
      </w: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spacing w:line="600" w:lineRule="exact"/>
        <w:jc w:val="center"/>
        <w:outlineLvl w:val="0"/>
        <w:rPr>
          <w:rStyle w:val="16"/>
          <w:rFonts w:ascii="黑体" w:hAnsi="黑体" w:eastAsia="黑体"/>
          <w:b w:val="0"/>
        </w:rPr>
      </w:pPr>
      <w:bookmarkStart w:id="41" w:name="_Toc15396618"/>
      <w:r>
        <w:rPr>
          <w:rFonts w:hint="eastAsia" w:ascii="黑体" w:hAnsi="黑体" w:eastAsia="黑体"/>
          <w:color w:val="000000"/>
          <w:sz w:val="44"/>
          <w:szCs w:val="44"/>
        </w:rPr>
        <w:t>第</w:t>
      </w:r>
      <w:r>
        <w:rPr>
          <w:rStyle w:val="16"/>
          <w:rFonts w:hint="eastAsia" w:ascii="黑体" w:hAnsi="黑体" w:eastAsia="黑体"/>
          <w:b w:val="0"/>
        </w:rPr>
        <w:t>五部分 附表</w:t>
      </w:r>
      <w:bookmarkEnd w:id="4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42" w:name="_Toc15396619"/>
      <w:r>
        <w:rPr>
          <w:rFonts w:hint="eastAsia" w:ascii="仿宋" w:hAnsi="仿宋" w:eastAsia="仿宋"/>
          <w:b w:val="0"/>
          <w:color w:val="000000"/>
        </w:rPr>
        <w:t>一、收</w:t>
      </w:r>
      <w:r>
        <w:rPr>
          <w:rStyle w:val="15"/>
          <w:rFonts w:hint="eastAsia" w:ascii="仿宋" w:hAnsi="仿宋" w:eastAsia="仿宋"/>
          <w:b w:val="0"/>
          <w:bCs w:val="0"/>
        </w:rPr>
        <w:t>入支出决算总表</w:t>
      </w:r>
      <w:bookmarkEnd w:id="42"/>
    </w:p>
    <w:p>
      <w:pPr>
        <w:pStyle w:val="3"/>
        <w:rPr>
          <w:rFonts w:ascii="仿宋" w:hAnsi="仿宋" w:eastAsia="仿宋"/>
          <w:color w:val="000000"/>
        </w:rPr>
      </w:pPr>
      <w:bookmarkStart w:id="43" w:name="_Toc15396620"/>
      <w:r>
        <w:rPr>
          <w:rFonts w:hint="eastAsia" w:ascii="仿宋" w:hAnsi="仿宋" w:eastAsia="仿宋"/>
          <w:b w:val="0"/>
          <w:color w:val="000000"/>
        </w:rPr>
        <w:t>二、收</w:t>
      </w:r>
      <w:r>
        <w:rPr>
          <w:rStyle w:val="15"/>
          <w:rFonts w:hint="eastAsia" w:ascii="仿宋" w:hAnsi="仿宋" w:eastAsia="仿宋"/>
          <w:b w:val="0"/>
          <w:bCs w:val="0"/>
        </w:rPr>
        <w:t>入决算表</w:t>
      </w:r>
      <w:bookmarkEnd w:id="43"/>
    </w:p>
    <w:p>
      <w:pPr>
        <w:pStyle w:val="3"/>
        <w:rPr>
          <w:rFonts w:ascii="仿宋" w:hAnsi="仿宋" w:eastAsia="仿宋"/>
          <w:color w:val="000000"/>
        </w:rPr>
      </w:pPr>
      <w:bookmarkStart w:id="44" w:name="_Toc15396621"/>
      <w:r>
        <w:rPr>
          <w:rStyle w:val="15"/>
          <w:rFonts w:hint="eastAsia" w:ascii="仿宋" w:hAnsi="仿宋" w:eastAsia="仿宋"/>
          <w:b w:val="0"/>
          <w:bCs w:val="0"/>
        </w:rPr>
        <w:t>三、</w:t>
      </w:r>
      <w:r>
        <w:rPr>
          <w:rFonts w:hint="eastAsia" w:ascii="仿宋" w:hAnsi="仿宋" w:eastAsia="仿宋"/>
          <w:b w:val="0"/>
          <w:color w:val="000000"/>
        </w:rPr>
        <w:t>支</w:t>
      </w:r>
      <w:r>
        <w:rPr>
          <w:rStyle w:val="15"/>
          <w:rFonts w:hint="eastAsia" w:ascii="仿宋" w:hAnsi="仿宋" w:eastAsia="仿宋"/>
          <w:b w:val="0"/>
          <w:bCs w:val="0"/>
        </w:rPr>
        <w:t>出决算表</w:t>
      </w:r>
      <w:bookmarkEnd w:id="44"/>
    </w:p>
    <w:p>
      <w:pPr>
        <w:pStyle w:val="3"/>
        <w:rPr>
          <w:rFonts w:ascii="仿宋" w:hAnsi="仿宋" w:eastAsia="仿宋"/>
          <w:b w:val="0"/>
          <w:color w:val="000000"/>
        </w:rPr>
      </w:pPr>
      <w:bookmarkStart w:id="45" w:name="_Toc15396622"/>
      <w:r>
        <w:rPr>
          <w:rStyle w:val="15"/>
          <w:rFonts w:hint="eastAsia" w:ascii="仿宋" w:hAnsi="仿宋" w:eastAsia="仿宋"/>
          <w:b w:val="0"/>
          <w:bCs w:val="0"/>
        </w:rPr>
        <w:t>四、</w:t>
      </w:r>
      <w:r>
        <w:rPr>
          <w:rFonts w:hint="eastAsia" w:ascii="仿宋" w:hAnsi="仿宋" w:eastAsia="仿宋"/>
          <w:b w:val="0"/>
          <w:color w:val="000000"/>
        </w:rPr>
        <w:t>财</w:t>
      </w:r>
      <w:r>
        <w:rPr>
          <w:rStyle w:val="15"/>
          <w:rFonts w:hint="eastAsia" w:ascii="仿宋" w:hAnsi="仿宋" w:eastAsia="仿宋"/>
          <w:b w:val="0"/>
          <w:bCs w:val="0"/>
        </w:rPr>
        <w:t>政拨款收入支出决算总表</w:t>
      </w:r>
      <w:bookmarkEnd w:id="45"/>
    </w:p>
    <w:p>
      <w:pPr>
        <w:pStyle w:val="3"/>
        <w:rPr>
          <w:rStyle w:val="15"/>
          <w:rFonts w:ascii="仿宋" w:hAnsi="仿宋" w:eastAsia="仿宋"/>
          <w:b w:val="0"/>
          <w:bCs w:val="0"/>
        </w:rPr>
      </w:pPr>
      <w:bookmarkStart w:id="46" w:name="_Toc15396623"/>
      <w:r>
        <w:rPr>
          <w:rStyle w:val="15"/>
          <w:rFonts w:hint="eastAsia" w:ascii="仿宋" w:hAnsi="仿宋" w:eastAsia="仿宋"/>
          <w:b w:val="0"/>
          <w:bCs w:val="0"/>
        </w:rPr>
        <w:t>五、</w:t>
      </w:r>
      <w:r>
        <w:rPr>
          <w:rFonts w:hint="eastAsia" w:ascii="仿宋" w:hAnsi="仿宋" w:eastAsia="仿宋"/>
          <w:b w:val="0"/>
          <w:color w:val="000000"/>
        </w:rPr>
        <w:t>财</w:t>
      </w:r>
      <w:r>
        <w:rPr>
          <w:rStyle w:val="15"/>
          <w:rFonts w:hint="eastAsia" w:ascii="仿宋" w:hAnsi="仿宋" w:eastAsia="仿宋"/>
          <w:b w:val="0"/>
          <w:bCs w:val="0"/>
        </w:rPr>
        <w:t>政拨款支出决算明细表</w:t>
      </w:r>
      <w:bookmarkEnd w:id="46"/>
      <w:bookmarkStart w:id="47" w:name="_Toc15396624"/>
    </w:p>
    <w:p>
      <w:pPr>
        <w:pStyle w:val="3"/>
        <w:rPr>
          <w:rFonts w:ascii="仿宋" w:hAnsi="仿宋" w:eastAsia="仿宋"/>
          <w:color w:val="000000"/>
        </w:rPr>
      </w:pPr>
      <w:r>
        <w:rPr>
          <w:rStyle w:val="15"/>
          <w:rFonts w:hint="eastAsia" w:ascii="仿宋" w:hAnsi="仿宋" w:eastAsia="仿宋"/>
          <w:b w:val="0"/>
          <w:bCs w:val="0"/>
        </w:rPr>
        <w:t>六、</w:t>
      </w:r>
      <w:r>
        <w:rPr>
          <w:rFonts w:hint="eastAsia" w:ascii="仿宋" w:hAnsi="仿宋" w:eastAsia="仿宋"/>
          <w:b w:val="0"/>
          <w:color w:val="000000"/>
        </w:rPr>
        <w:t>一</w:t>
      </w:r>
      <w:r>
        <w:rPr>
          <w:rStyle w:val="15"/>
          <w:rFonts w:hint="eastAsia" w:ascii="仿宋" w:hAnsi="仿宋" w:eastAsia="仿宋"/>
          <w:b w:val="0"/>
          <w:bCs w:val="0"/>
        </w:rPr>
        <w:t>般公共预算财政拨款支出决算表</w:t>
      </w:r>
      <w:bookmarkEnd w:id="47"/>
    </w:p>
    <w:p>
      <w:pPr>
        <w:pStyle w:val="3"/>
        <w:rPr>
          <w:rFonts w:ascii="仿宋" w:hAnsi="仿宋" w:eastAsia="仿宋"/>
          <w:color w:val="000000"/>
        </w:rPr>
      </w:pPr>
      <w:bookmarkStart w:id="48" w:name="_Toc15396625"/>
      <w:r>
        <w:rPr>
          <w:rStyle w:val="15"/>
          <w:rFonts w:hint="eastAsia" w:ascii="仿宋" w:hAnsi="仿宋" w:eastAsia="仿宋"/>
          <w:b w:val="0"/>
          <w:bCs w:val="0"/>
        </w:rPr>
        <w:t>七、</w:t>
      </w:r>
      <w:r>
        <w:rPr>
          <w:rFonts w:hint="eastAsia" w:ascii="仿宋" w:hAnsi="仿宋" w:eastAsia="仿宋"/>
          <w:b w:val="0"/>
          <w:color w:val="000000"/>
        </w:rPr>
        <w:t>一</w:t>
      </w:r>
      <w:r>
        <w:rPr>
          <w:rStyle w:val="15"/>
          <w:rFonts w:hint="eastAsia" w:ascii="仿宋" w:hAnsi="仿宋" w:eastAsia="仿宋"/>
          <w:b w:val="0"/>
          <w:bCs w:val="0"/>
        </w:rPr>
        <w:t>般公共预算财政拨款支出决算明细表</w:t>
      </w:r>
      <w:bookmarkEnd w:id="48"/>
    </w:p>
    <w:p>
      <w:pPr>
        <w:pStyle w:val="3"/>
        <w:rPr>
          <w:rFonts w:ascii="仿宋" w:hAnsi="仿宋" w:eastAsia="仿宋"/>
          <w:color w:val="000000"/>
        </w:rPr>
      </w:pPr>
      <w:bookmarkStart w:id="49" w:name="_Toc15396626"/>
      <w:r>
        <w:rPr>
          <w:rStyle w:val="15"/>
          <w:rFonts w:hint="eastAsia" w:ascii="仿宋" w:hAnsi="仿宋" w:eastAsia="仿宋"/>
          <w:b w:val="0"/>
          <w:bCs w:val="0"/>
        </w:rPr>
        <w:t>八、</w:t>
      </w:r>
      <w:r>
        <w:rPr>
          <w:rFonts w:hint="eastAsia" w:ascii="仿宋" w:hAnsi="仿宋" w:eastAsia="仿宋"/>
          <w:b w:val="0"/>
          <w:color w:val="000000"/>
        </w:rPr>
        <w:t>一</w:t>
      </w:r>
      <w:r>
        <w:rPr>
          <w:rStyle w:val="15"/>
          <w:rFonts w:hint="eastAsia" w:ascii="仿宋" w:hAnsi="仿宋" w:eastAsia="仿宋"/>
          <w:b w:val="0"/>
          <w:bCs w:val="0"/>
        </w:rPr>
        <w:t>般公共预算财政拨款基本支出决算表</w:t>
      </w:r>
      <w:bookmarkEnd w:id="49"/>
    </w:p>
    <w:p>
      <w:pPr>
        <w:pStyle w:val="3"/>
        <w:rPr>
          <w:rFonts w:ascii="仿宋" w:hAnsi="仿宋" w:eastAsia="仿宋"/>
          <w:color w:val="000000"/>
        </w:rPr>
      </w:pPr>
      <w:bookmarkStart w:id="50" w:name="_Toc15396627"/>
      <w:r>
        <w:rPr>
          <w:rStyle w:val="15"/>
          <w:rFonts w:hint="eastAsia" w:ascii="仿宋" w:hAnsi="仿宋" w:eastAsia="仿宋"/>
          <w:b w:val="0"/>
          <w:bCs w:val="0"/>
        </w:rPr>
        <w:t>九、</w:t>
      </w:r>
      <w:r>
        <w:rPr>
          <w:rFonts w:hint="eastAsia" w:ascii="仿宋" w:hAnsi="仿宋" w:eastAsia="仿宋"/>
          <w:b w:val="0"/>
          <w:color w:val="000000"/>
        </w:rPr>
        <w:t>一</w:t>
      </w:r>
      <w:r>
        <w:rPr>
          <w:rStyle w:val="15"/>
          <w:rFonts w:hint="eastAsia" w:ascii="仿宋" w:hAnsi="仿宋" w:eastAsia="仿宋"/>
          <w:b w:val="0"/>
          <w:bCs w:val="0"/>
        </w:rPr>
        <w:t>般公共预算财政拨款项目支出决算表</w:t>
      </w:r>
      <w:bookmarkEnd w:id="50"/>
    </w:p>
    <w:p>
      <w:pPr>
        <w:pStyle w:val="3"/>
        <w:rPr>
          <w:rFonts w:ascii="仿宋" w:hAnsi="仿宋" w:eastAsia="仿宋"/>
          <w:color w:val="000000"/>
        </w:rPr>
      </w:pPr>
      <w:bookmarkStart w:id="51" w:name="_Toc15396628"/>
      <w:r>
        <w:rPr>
          <w:rStyle w:val="15"/>
          <w:rFonts w:hint="eastAsia" w:ascii="仿宋" w:hAnsi="仿宋" w:eastAsia="仿宋"/>
          <w:b w:val="0"/>
          <w:bCs w:val="0"/>
        </w:rPr>
        <w:t>十、</w:t>
      </w:r>
      <w:r>
        <w:rPr>
          <w:rFonts w:hint="eastAsia" w:ascii="仿宋" w:hAnsi="仿宋" w:eastAsia="仿宋"/>
          <w:b w:val="0"/>
          <w:color w:val="000000"/>
        </w:rPr>
        <w:t>一</w:t>
      </w:r>
      <w:r>
        <w:rPr>
          <w:rStyle w:val="15"/>
          <w:rFonts w:hint="eastAsia" w:ascii="仿宋" w:hAnsi="仿宋" w:eastAsia="仿宋"/>
          <w:b w:val="0"/>
          <w:bCs w:val="0"/>
        </w:rPr>
        <w:t>般公共预算财政拨款“三公”经费支出决算表</w:t>
      </w:r>
      <w:bookmarkEnd w:id="51"/>
    </w:p>
    <w:p>
      <w:pPr>
        <w:pStyle w:val="3"/>
        <w:rPr>
          <w:rFonts w:ascii="仿宋" w:hAnsi="仿宋" w:eastAsia="仿宋"/>
          <w:color w:val="000000"/>
        </w:rPr>
      </w:pPr>
      <w:bookmarkStart w:id="52" w:name="_Toc15396629"/>
      <w:r>
        <w:rPr>
          <w:rStyle w:val="15"/>
          <w:rFonts w:hint="eastAsia" w:ascii="仿宋" w:hAnsi="仿宋" w:eastAsia="仿宋"/>
          <w:b w:val="0"/>
          <w:bCs w:val="0"/>
        </w:rPr>
        <w:t>十一、</w:t>
      </w:r>
      <w:r>
        <w:rPr>
          <w:rFonts w:hint="eastAsia" w:ascii="仿宋" w:hAnsi="仿宋" w:eastAsia="仿宋"/>
          <w:b w:val="0"/>
          <w:color w:val="000000"/>
        </w:rPr>
        <w:t>政</w:t>
      </w:r>
      <w:r>
        <w:rPr>
          <w:rStyle w:val="15"/>
          <w:rFonts w:hint="eastAsia" w:ascii="仿宋" w:hAnsi="仿宋" w:eastAsia="仿宋"/>
          <w:b w:val="0"/>
          <w:bCs w:val="0"/>
        </w:rPr>
        <w:t>府性基金预算财政拨款收入支出决算表</w:t>
      </w:r>
      <w:bookmarkEnd w:id="52"/>
    </w:p>
    <w:p>
      <w:pPr>
        <w:pStyle w:val="3"/>
        <w:rPr>
          <w:rFonts w:ascii="仿宋" w:hAnsi="仿宋" w:eastAsia="仿宋"/>
          <w:color w:val="000000"/>
        </w:rPr>
      </w:pPr>
      <w:bookmarkStart w:id="53" w:name="_Toc15396630"/>
      <w:r>
        <w:rPr>
          <w:rStyle w:val="15"/>
          <w:rFonts w:hint="eastAsia" w:ascii="仿宋" w:hAnsi="仿宋" w:eastAsia="仿宋"/>
          <w:b w:val="0"/>
          <w:bCs w:val="0"/>
        </w:rPr>
        <w:t>十二、</w:t>
      </w:r>
      <w:r>
        <w:rPr>
          <w:rFonts w:hint="eastAsia" w:ascii="仿宋" w:hAnsi="仿宋" w:eastAsia="仿宋"/>
          <w:b w:val="0"/>
          <w:color w:val="000000"/>
        </w:rPr>
        <w:t>政</w:t>
      </w:r>
      <w:r>
        <w:rPr>
          <w:rStyle w:val="15"/>
          <w:rFonts w:hint="eastAsia" w:ascii="仿宋" w:hAnsi="仿宋" w:eastAsia="仿宋"/>
          <w:b w:val="0"/>
          <w:bCs w:val="0"/>
        </w:rPr>
        <w:t>府性基金预算财政拨款“三公”经费支出决算表</w:t>
      </w:r>
      <w:bookmarkEnd w:id="53"/>
    </w:p>
    <w:p>
      <w:pPr>
        <w:pStyle w:val="3"/>
        <w:rPr>
          <w:rFonts w:ascii="仿宋" w:hAnsi="仿宋" w:eastAsia="仿宋"/>
          <w:color w:val="000000" w:themeColor="text1"/>
          <w14:textFill>
            <w14:solidFill>
              <w14:schemeClr w14:val="tx1"/>
            </w14:solidFill>
          </w14:textFill>
        </w:rPr>
      </w:pPr>
      <w:bookmarkStart w:id="54" w:name="_Toc15396631"/>
      <w:r>
        <w:rPr>
          <w:rStyle w:val="15"/>
          <w:rFonts w:hint="eastAsia" w:ascii="仿宋" w:hAnsi="仿宋" w:eastAsia="仿宋"/>
          <w:b w:val="0"/>
          <w:bCs w:val="0"/>
        </w:rPr>
        <w:t>十三、</w:t>
      </w:r>
      <w:r>
        <w:rPr>
          <w:rFonts w:hint="eastAsia" w:ascii="仿宋" w:hAnsi="仿宋" w:eastAsia="仿宋"/>
          <w:b w:val="0"/>
          <w:color w:val="000000"/>
        </w:rPr>
        <w:t>国</w:t>
      </w:r>
      <w:r>
        <w:rPr>
          <w:rStyle w:val="15"/>
          <w:rFonts w:hint="eastAsia" w:ascii="仿宋" w:hAnsi="仿宋" w:eastAsia="仿宋"/>
          <w:b w:val="0"/>
          <w:bCs w:val="0"/>
        </w:rPr>
        <w:t>有资本经营预算支出决算表</w:t>
      </w:r>
      <w:bookmarkEnd w:id="54"/>
    </w:p>
    <w:p>
      <w:pPr>
        <w:widowControl/>
        <w:spacing w:line="480" w:lineRule="auto"/>
        <w:ind w:firstLine="640" w:firstLineChars="200"/>
        <w:rPr>
          <w:rFonts w:hint="eastAsia" w:ascii="仿宋_GB2312" w:hAnsi="Calibri" w:eastAsia="仿宋_GB2312" w:cs="仿宋"/>
          <w:color w:val="000000"/>
          <w:kern w:val="0"/>
          <w:sz w:val="32"/>
          <w:szCs w:val="32"/>
          <w:lang w:val="en-US" w:eastAsia="zh-CN" w:bidi="ar-SA"/>
        </w:rPr>
      </w:pPr>
    </w:p>
    <w:p>
      <w:pPr>
        <w:widowControl/>
        <w:spacing w:line="480" w:lineRule="auto"/>
        <w:ind w:firstLine="480"/>
        <w:rPr>
          <w:rFonts w:hint="eastAsia" w:ascii="仿宋_GB2312" w:hAnsi="Calibri" w:eastAsia="仿宋_GB2312" w:cs="仿宋"/>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89492"/>
    <w:multiLevelType w:val="singleLevel"/>
    <w:tmpl w:val="C8089492"/>
    <w:lvl w:ilvl="0" w:tentative="0">
      <w:start w:val="5"/>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7718D527"/>
    <w:multiLevelType w:val="singleLevel"/>
    <w:tmpl w:val="7718D52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21C7"/>
    <w:rsid w:val="019C0FF1"/>
    <w:rsid w:val="08801885"/>
    <w:rsid w:val="0B4D6735"/>
    <w:rsid w:val="1472536B"/>
    <w:rsid w:val="152E416E"/>
    <w:rsid w:val="187033A7"/>
    <w:rsid w:val="1D4C0802"/>
    <w:rsid w:val="22DA0655"/>
    <w:rsid w:val="258B0F2D"/>
    <w:rsid w:val="25E1520F"/>
    <w:rsid w:val="2BF02279"/>
    <w:rsid w:val="2D8972B0"/>
    <w:rsid w:val="2DDF7696"/>
    <w:rsid w:val="2EDE4831"/>
    <w:rsid w:val="314A6F49"/>
    <w:rsid w:val="36133400"/>
    <w:rsid w:val="3B5839A1"/>
    <w:rsid w:val="3B707C95"/>
    <w:rsid w:val="3B730F85"/>
    <w:rsid w:val="3B8F416C"/>
    <w:rsid w:val="404A74F8"/>
    <w:rsid w:val="4356463A"/>
    <w:rsid w:val="4CA5442F"/>
    <w:rsid w:val="4ED04580"/>
    <w:rsid w:val="4ED60885"/>
    <w:rsid w:val="4FA90A92"/>
    <w:rsid w:val="539F185F"/>
    <w:rsid w:val="623A5E26"/>
    <w:rsid w:val="6697076B"/>
    <w:rsid w:val="6793550E"/>
    <w:rsid w:val="68FC5CFC"/>
    <w:rsid w:val="6C441B80"/>
    <w:rsid w:val="6D70199C"/>
    <w:rsid w:val="706708F3"/>
    <w:rsid w:val="766E1264"/>
    <w:rsid w:val="7D701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character" w:customStyle="1" w:styleId="16">
    <w:name w:val="标题 1 Char"/>
    <w:basedOn w:val="11"/>
    <w:link w:val="2"/>
    <w:qFormat/>
    <w:uiPriority w:val="9"/>
    <w:rPr>
      <w:b/>
      <w:bCs/>
      <w:kern w:val="44"/>
      <w:sz w:val="44"/>
      <w:szCs w:val="44"/>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1894.37</c:v>
                </c:pt>
                <c:pt idx="1">
                  <c:v>1894.37</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1991.73</c:v>
                </c:pt>
                <c:pt idx="1">
                  <c:v>1991.73</c:v>
                </c:pt>
              </c:numCache>
            </c:numRef>
          </c:val>
        </c:ser>
        <c:dLbls>
          <c:showLegendKey val="0"/>
          <c:showVal val="0"/>
          <c:showCatName val="0"/>
          <c:showSerName val="0"/>
          <c:showPercent val="0"/>
          <c:showBubbleSize val="0"/>
        </c:dLbls>
        <c:gapWidth val="219"/>
        <c:overlap val="-27"/>
        <c:axId val="83176852"/>
        <c:axId val="130011346"/>
      </c:barChart>
      <c:catAx>
        <c:axId val="831768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011346"/>
        <c:crosses val="autoZero"/>
        <c:auto val="1"/>
        <c:lblAlgn val="ctr"/>
        <c:lblOffset val="100"/>
        <c:noMultiLvlLbl val="0"/>
      </c:catAx>
      <c:valAx>
        <c:axId val="1300113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1768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c:v>
                </c:pt>
              </c:strCache>
            </c:strRef>
          </c:cat>
          <c:val>
            <c:numRef>
              <c:f>Sheet1!$B$2</c:f>
              <c:numCache>
                <c:formatCode>General</c:formatCode>
                <c:ptCount val="1"/>
                <c:pt idx="0">
                  <c:v>1991.73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1963.4</c:v>
                </c:pt>
                <c:pt idx="1">
                  <c:v>28.33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58447991194276"/>
          <c:y val="0.144646924829157"/>
          <c:w val="0.900027517886626"/>
          <c:h val="0.677562642369021"/>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1894.37</c:v>
                </c:pt>
                <c:pt idx="1">
                  <c:v>1894.37</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1991.73</c:v>
                </c:pt>
                <c:pt idx="1">
                  <c:v>1991.73</c:v>
                </c:pt>
              </c:numCache>
            </c:numRef>
          </c:val>
        </c:ser>
        <c:dLbls>
          <c:showLegendKey val="0"/>
          <c:showVal val="0"/>
          <c:showCatName val="0"/>
          <c:showSerName val="0"/>
          <c:showPercent val="0"/>
          <c:showBubbleSize val="0"/>
        </c:dLbls>
        <c:gapWidth val="219"/>
        <c:overlap val="-27"/>
        <c:axId val="83176852"/>
        <c:axId val="130011346"/>
      </c:barChart>
      <c:catAx>
        <c:axId val="831768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011346"/>
        <c:crosses val="autoZero"/>
        <c:auto val="1"/>
        <c:lblAlgn val="ctr"/>
        <c:lblOffset val="100"/>
        <c:noMultiLvlLbl val="0"/>
      </c:catAx>
      <c:valAx>
        <c:axId val="1300113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1768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1894.37</c:v>
                </c:pt>
                <c:pt idx="1">
                  <c:v>1991.73</c:v>
                </c:pt>
              </c:numCache>
            </c:numRef>
          </c:val>
        </c:ser>
        <c:dLbls>
          <c:showLegendKey val="0"/>
          <c:showVal val="0"/>
          <c:showCatName val="0"/>
          <c:showSerName val="0"/>
          <c:showPercent val="0"/>
          <c:showBubbleSize val="0"/>
        </c:dLbls>
        <c:gapWidth val="219"/>
        <c:overlap val="-27"/>
        <c:axId val="577610512"/>
        <c:axId val="906322210"/>
      </c:barChart>
      <c:catAx>
        <c:axId val="577610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322210"/>
        <c:crosses val="autoZero"/>
        <c:auto val="1"/>
        <c:lblAlgn val="ctr"/>
        <c:lblOffset val="100"/>
        <c:noMultiLvlLbl val="0"/>
      </c:catAx>
      <c:valAx>
        <c:axId val="9063222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7610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140.24</c:v>
                </c:pt>
                <c:pt idx="1">
                  <c:v>1775.88</c:v>
                </c:pt>
                <c:pt idx="2">
                  <c:v>75.61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2021-05-28T06:08:32Z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AD56F9390AF24B11A18286776E4D7D10</vt:lpwstr>
  </property>
</Properties>
</file>