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开江县卫生和计划生育监督执法大队</w:t>
      </w:r>
    </w:p>
    <w:p>
      <w:pPr>
        <w:snapToGrid w:val="0"/>
        <w:spacing w:line="576"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2018年部门决算分析报告</w:t>
      </w:r>
    </w:p>
    <w:p>
      <w:pPr>
        <w:snapToGrid w:val="0"/>
        <w:spacing w:line="576" w:lineRule="exact"/>
        <w:jc w:val="center"/>
        <w:rPr>
          <w:rFonts w:ascii="宋体" w:hAnsi="宋体"/>
          <w:b/>
          <w:sz w:val="36"/>
          <w:szCs w:val="36"/>
        </w:rPr>
      </w:pPr>
    </w:p>
    <w:p>
      <w:pPr>
        <w:snapToGrid w:val="0"/>
        <w:spacing w:line="576" w:lineRule="exact"/>
        <w:ind w:firstLine="640" w:firstLineChars="200"/>
        <w:rPr>
          <w:rFonts w:ascii="方正黑体简体" w:hAnsi="方正黑体简体" w:eastAsia="方正黑体简体" w:cs="方正黑体简体"/>
          <w:sz w:val="32"/>
          <w:szCs w:val="32"/>
        </w:rPr>
      </w:pPr>
      <w:bookmarkStart w:id="0" w:name="YS060101"/>
      <w:r>
        <w:rPr>
          <w:rFonts w:hint="eastAsia" w:ascii="方正黑体简体" w:hAnsi="方正黑体简体" w:eastAsia="方正黑体简体" w:cs="方正黑体简体"/>
          <w:sz w:val="32"/>
          <w:szCs w:val="32"/>
        </w:rPr>
        <w:t>一、部门（单位）情况</w:t>
      </w:r>
    </w:p>
    <w:bookmarkEnd w:id="0"/>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（一）基本情况。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pStyle w:val="5"/>
        <w:widowControl/>
        <w:spacing w:beforeAutospacing="0" w:afterAutospacing="0" w:line="576"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承担着本县辖区内的医疗卫生单位监管和学校、住宿场所、游游场所、生活饮用水、美容美发等公共场所的监督监测工作。</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76" w:lineRule="exact"/>
        <w:ind w:firstLine="640" w:firstLineChars="200"/>
        <w:rPr>
          <w:rFonts w:ascii="仿宋_GB2312" w:hAnsi="仿宋" w:eastAsia="仿宋_GB2312"/>
          <w:sz w:val="32"/>
          <w:szCs w:val="32"/>
        </w:rPr>
      </w:pPr>
      <w:r>
        <w:rPr>
          <w:rFonts w:hint="eastAsia" w:ascii="方正仿宋简体" w:hAnsi="方正仿宋简体" w:eastAsia="方正仿宋简体" w:cs="方正仿宋简体"/>
          <w:sz w:val="32"/>
          <w:szCs w:val="32"/>
        </w:rPr>
        <w:t>开江县卫生和计划生育监督执法大队为卫计局下属的参照公务员执行事业单位。设有大队长和副大队长各一名，下设办公室、一中队、二中队、稽查中队等队室。</w:t>
      </w:r>
      <w:r>
        <w:rPr>
          <w:rFonts w:hint="eastAsia" w:ascii="仿宋_GB2312" w:hAnsi="仿宋" w:eastAsia="仿宋_GB2312"/>
          <w:sz w:val="32"/>
          <w:szCs w:val="32"/>
        </w:rPr>
        <w:t>纳入2018年部门决算编报的单位共1个，事业单位管理。机构数量无增减变动。</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截止12月31日年末在职职工人数12人，公招1人，调出1人。</w:t>
      </w:r>
    </w:p>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（二）当年取得的主要事业成效。</w:t>
      </w:r>
    </w:p>
    <w:p>
      <w:pPr>
        <w:snapToGrid w:val="0"/>
        <w:spacing w:line="576" w:lineRule="exact"/>
        <w:rPr>
          <w:rFonts w:ascii="楷体_GB2312" w:hAnsi="仿宋" w:eastAsia="楷体_GB2312"/>
          <w:b/>
          <w:sz w:val="32"/>
          <w:szCs w:val="32"/>
        </w:rPr>
      </w:pPr>
      <w:r>
        <w:rPr>
          <w:rFonts w:hint="eastAsia" w:ascii="楷体_GB2312" w:hAnsi="仿宋" w:eastAsia="楷体_GB2312"/>
          <w:b/>
          <w:sz w:val="32"/>
          <w:szCs w:val="32"/>
        </w:rPr>
        <w:t xml:space="preserve">    </w:t>
      </w:r>
      <w:r>
        <w:rPr>
          <w:rFonts w:hint="eastAsia" w:ascii="方正仿宋简体" w:hAnsi="楷体_GB2312" w:eastAsia="方正仿宋简体" w:cs="楷体_GB2312"/>
          <w:bCs/>
          <w:sz w:val="32"/>
          <w:szCs w:val="32"/>
        </w:rPr>
        <w:t>加强了医疗行业监管，坚持依法治医、依法执业，重拳打击非法行医，规范医疗机构医废管理；加大公共卫生、学校卫生、生活饮用水卫生和职业卫生监督执法力度，加强学校饮用水和传染病防治等重点工作的监督检查，促进公共场所、学校、饮用水等卫生安全。</w:t>
      </w:r>
    </w:p>
    <w:p>
      <w:pPr>
        <w:snapToGrid w:val="0"/>
        <w:spacing w:line="576" w:lineRule="exact"/>
        <w:ind w:firstLine="640" w:firstLineChars="200"/>
        <w:rPr>
          <w:rFonts w:ascii="方正黑体简体" w:hAnsi="方正黑体简体" w:eastAsia="方正黑体简体" w:cs="方正黑体简体"/>
          <w:sz w:val="32"/>
          <w:szCs w:val="32"/>
        </w:rPr>
      </w:pPr>
      <w:bookmarkStart w:id="1" w:name="YS060102"/>
      <w:r>
        <w:rPr>
          <w:rFonts w:hint="eastAsia" w:ascii="方正黑体简体" w:hAnsi="方正黑体简体" w:eastAsia="方正黑体简体" w:cs="方正黑体简体"/>
          <w:sz w:val="32"/>
          <w:szCs w:val="32"/>
        </w:rPr>
        <w:t>二、收入支出预算执行情况分析</w:t>
      </w:r>
    </w:p>
    <w:bookmarkEnd w:id="1"/>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（一）收入支出预算安排情况。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2018年本单位预算收入</w:t>
      </w:r>
    </w:p>
    <w:p>
      <w:pPr>
        <w:snapToGrid w:val="0"/>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包括部门（单位）收入、支出年初预算安排情况，与上年对比情况及增减变动原因，年度执行中调整情况，调整原因说明。</w:t>
      </w:r>
    </w:p>
    <w:tbl>
      <w:tblPr>
        <w:tblStyle w:val="6"/>
        <w:tblW w:w="0" w:type="auto"/>
        <w:tblInd w:w="93" w:type="dxa"/>
        <w:tblLayout w:type="fixed"/>
        <w:tblCellMar>
          <w:top w:w="0" w:type="dxa"/>
          <w:left w:w="108" w:type="dxa"/>
          <w:bottom w:w="0" w:type="dxa"/>
          <w:right w:w="108" w:type="dxa"/>
        </w:tblCellMar>
      </w:tblPr>
      <w:tblGrid>
        <w:gridCol w:w="1140"/>
        <w:gridCol w:w="1140"/>
        <w:gridCol w:w="1100"/>
        <w:gridCol w:w="1240"/>
        <w:gridCol w:w="4240"/>
      </w:tblGrid>
      <w:tr>
        <w:tblPrEx>
          <w:tblCellMar>
            <w:top w:w="0" w:type="dxa"/>
            <w:left w:w="108" w:type="dxa"/>
            <w:bottom w:w="0" w:type="dxa"/>
            <w:right w:w="108" w:type="dxa"/>
          </w:tblCellMar>
        </w:tblPrEx>
        <w:trPr>
          <w:trHeight w:val="402" w:hRule="atLeast"/>
        </w:trPr>
        <w:tc>
          <w:tcPr>
            <w:tcW w:w="8860" w:type="dxa"/>
            <w:gridSpan w:val="5"/>
            <w:tcBorders>
              <w:top w:val="nil"/>
              <w:left w:val="nil"/>
              <w:bottom w:val="nil"/>
              <w:right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收入、支出年初预算上下年对比（单位：万元）</w:t>
            </w:r>
          </w:p>
        </w:tc>
      </w:tr>
      <w:tr>
        <w:tblPrEx>
          <w:tblCellMar>
            <w:top w:w="0" w:type="dxa"/>
            <w:left w:w="108" w:type="dxa"/>
            <w:bottom w:w="0" w:type="dxa"/>
            <w:right w:w="108" w:type="dxa"/>
          </w:tblCellMar>
        </w:tblPrEx>
        <w:trPr>
          <w:trHeight w:val="84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上年年初预算数</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本年年初预算数</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w:t>
            </w:r>
          </w:p>
        </w:tc>
        <w:tc>
          <w:tcPr>
            <w:tcW w:w="12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差异比</w:t>
            </w:r>
          </w:p>
        </w:tc>
        <w:tc>
          <w:tcPr>
            <w:tcW w:w="42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说明</w:t>
            </w:r>
          </w:p>
        </w:tc>
      </w:tr>
      <w:tr>
        <w:tblPrEx>
          <w:tblCellMar>
            <w:top w:w="0" w:type="dxa"/>
            <w:left w:w="108" w:type="dxa"/>
            <w:bottom w:w="0" w:type="dxa"/>
            <w:right w:w="108" w:type="dxa"/>
          </w:tblCellMar>
        </w:tblPrEx>
        <w:trPr>
          <w:trHeight w:val="540" w:hRule="atLeast"/>
        </w:trPr>
        <w:tc>
          <w:tcPr>
            <w:tcW w:w="11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123.98</w:t>
            </w: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119.29</w:t>
            </w:r>
          </w:p>
        </w:tc>
        <w:tc>
          <w:tcPr>
            <w:tcW w:w="11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-4.69</w:t>
            </w:r>
          </w:p>
        </w:tc>
        <w:tc>
          <w:tcPr>
            <w:tcW w:w="12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w:t>
            </w:r>
          </w:p>
        </w:tc>
        <w:tc>
          <w:tcPr>
            <w:tcW w:w="42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人员经费收入减少</w:t>
            </w:r>
          </w:p>
        </w:tc>
      </w:tr>
      <w:tr>
        <w:tblPrEx>
          <w:tblCellMar>
            <w:top w:w="0" w:type="dxa"/>
            <w:left w:w="108" w:type="dxa"/>
            <w:bottom w:w="0" w:type="dxa"/>
            <w:right w:w="108" w:type="dxa"/>
          </w:tblCellMar>
        </w:tblPrEx>
        <w:trPr>
          <w:trHeight w:val="402" w:hRule="atLeast"/>
        </w:trPr>
        <w:tc>
          <w:tcPr>
            <w:tcW w:w="8860" w:type="dxa"/>
            <w:gridSpan w:val="5"/>
            <w:tcBorders>
              <w:top w:val="nil"/>
              <w:left w:val="nil"/>
              <w:bottom w:val="nil"/>
              <w:right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收入、支出年初预算与调整预算数对比（单位：万元）</w:t>
            </w:r>
          </w:p>
        </w:tc>
      </w:tr>
      <w:tr>
        <w:tblPrEx>
          <w:tblCellMar>
            <w:top w:w="0" w:type="dxa"/>
            <w:left w:w="108" w:type="dxa"/>
            <w:bottom w:w="0" w:type="dxa"/>
            <w:right w:w="108" w:type="dxa"/>
          </w:tblCellMar>
        </w:tblPrEx>
        <w:trPr>
          <w:trHeight w:val="84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年初预  算数</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调整预  算数</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w:t>
            </w:r>
          </w:p>
        </w:tc>
        <w:tc>
          <w:tcPr>
            <w:tcW w:w="5480"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说明</w:t>
            </w:r>
          </w:p>
        </w:tc>
      </w:tr>
      <w:tr>
        <w:tblPrEx>
          <w:tblCellMar>
            <w:top w:w="0" w:type="dxa"/>
            <w:left w:w="108" w:type="dxa"/>
            <w:bottom w:w="0" w:type="dxa"/>
            <w:right w:w="108" w:type="dxa"/>
          </w:tblCellMar>
        </w:tblPrEx>
        <w:trPr>
          <w:trHeight w:val="540" w:hRule="atLeast"/>
        </w:trPr>
        <w:tc>
          <w:tcPr>
            <w:tcW w:w="11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119.29 </w:t>
            </w: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131.05</w:t>
            </w:r>
          </w:p>
        </w:tc>
        <w:tc>
          <w:tcPr>
            <w:tcW w:w="11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11.76</w:t>
            </w:r>
          </w:p>
        </w:tc>
        <w:tc>
          <w:tcPr>
            <w:tcW w:w="5480"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人员经费增加</w:t>
            </w:r>
          </w:p>
        </w:tc>
      </w:tr>
    </w:tbl>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（二）收入支出预算执行情况。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当年收入支出预算执行基本情况，与上年度对比情况，包括增减绝对值与幅度，增减变动主要原因(可用柱形图或折线图)。</w:t>
      </w:r>
    </w:p>
    <w:p>
      <w:pPr>
        <w:snapToGrid w:val="0"/>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2018年本年收入131.05万元，上年收入127.59万元，比上年增加3.46万元。2018年本年支出131.05万元，上年支出127.59万元，比上年增加3.46万元。</w:t>
      </w:r>
    </w:p>
    <w:p>
      <w:pPr>
        <w:snapToGrid w:val="0"/>
        <w:spacing w:line="576" w:lineRule="exact"/>
        <w:ind w:firstLine="800" w:firstLineChars="250"/>
        <w:rPr>
          <w:rFonts w:ascii="仿宋_GB2312" w:hAnsi="仿宋" w:eastAsia="仿宋_GB2312"/>
          <w:sz w:val="32"/>
          <w:szCs w:val="32"/>
        </w:rPr>
      </w:pPr>
      <w:r>
        <w:rPr>
          <w:rFonts w:hint="eastAsia" w:ascii="仿宋_GB2312" w:hAnsi="仿宋" w:eastAsia="仿宋_GB2312"/>
          <w:sz w:val="32"/>
          <w:szCs w:val="32"/>
        </w:rPr>
        <w:t>收入支出变动的原因为人员费用支出增加及职工工资及社会保障续费增加。</w:t>
      </w:r>
    </w:p>
    <w:p>
      <w:pPr>
        <w:snapToGrid w:val="0"/>
        <w:spacing w:line="576"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（1）预、决算差异情况，可分收入支出功能科目、分单位、分收入支出具体项目逐项对比（可列表）。</w:t>
      </w:r>
    </w:p>
    <w:tbl>
      <w:tblPr>
        <w:tblStyle w:val="6"/>
        <w:tblW w:w="0" w:type="auto"/>
        <w:tblInd w:w="93" w:type="dxa"/>
        <w:tblLayout w:type="fixed"/>
        <w:tblCellMar>
          <w:top w:w="0" w:type="dxa"/>
          <w:left w:w="108" w:type="dxa"/>
          <w:bottom w:w="0" w:type="dxa"/>
          <w:right w:w="108" w:type="dxa"/>
        </w:tblCellMar>
      </w:tblPr>
      <w:tblGrid>
        <w:gridCol w:w="688"/>
        <w:gridCol w:w="1975"/>
        <w:gridCol w:w="1038"/>
        <w:gridCol w:w="1134"/>
        <w:gridCol w:w="992"/>
        <w:gridCol w:w="2693"/>
      </w:tblGrid>
      <w:tr>
        <w:tblPrEx>
          <w:tblCellMar>
            <w:top w:w="0" w:type="dxa"/>
            <w:left w:w="108" w:type="dxa"/>
            <w:bottom w:w="0" w:type="dxa"/>
            <w:right w:w="108" w:type="dxa"/>
          </w:tblCellMar>
        </w:tblPrEx>
        <w:trPr>
          <w:trHeight w:val="402" w:hRule="atLeast"/>
        </w:trPr>
        <w:tc>
          <w:tcPr>
            <w:tcW w:w="8520" w:type="dxa"/>
            <w:gridSpan w:val="6"/>
            <w:tcBorders>
              <w:top w:val="nil"/>
              <w:left w:val="nil"/>
              <w:bottom w:val="nil"/>
              <w:right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预、决算差异情况对比（单位：万元）</w:t>
            </w:r>
          </w:p>
        </w:tc>
      </w:tr>
      <w:tr>
        <w:tblPrEx>
          <w:tblCellMar>
            <w:top w:w="0" w:type="dxa"/>
            <w:left w:w="108" w:type="dxa"/>
            <w:bottom w:w="0" w:type="dxa"/>
            <w:right w:w="108" w:type="dxa"/>
          </w:tblCellMar>
        </w:tblPrEx>
        <w:trPr>
          <w:trHeight w:val="735" w:hRule="atLeast"/>
        </w:trPr>
        <w:tc>
          <w:tcPr>
            <w:tcW w:w="266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   预算数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    决算数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差异额</w:t>
            </w:r>
          </w:p>
        </w:tc>
        <w:tc>
          <w:tcPr>
            <w:tcW w:w="26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说明</w:t>
            </w:r>
          </w:p>
        </w:tc>
      </w:tr>
      <w:tr>
        <w:tblPrEx>
          <w:tblCellMar>
            <w:top w:w="0" w:type="dxa"/>
            <w:left w:w="108" w:type="dxa"/>
            <w:bottom w:w="0" w:type="dxa"/>
            <w:right w:w="108" w:type="dxa"/>
          </w:tblCellMar>
        </w:tblPrEx>
        <w:trPr>
          <w:trHeight w:val="600" w:hRule="atLeast"/>
        </w:trPr>
        <w:tc>
          <w:tcPr>
            <w:tcW w:w="68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w:t>
            </w:r>
          </w:p>
        </w:tc>
        <w:tc>
          <w:tcPr>
            <w:tcW w:w="197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财政拨款收入</w:t>
            </w:r>
          </w:p>
        </w:tc>
        <w:tc>
          <w:tcPr>
            <w:tcW w:w="1038"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119.29 </w:t>
            </w:r>
          </w:p>
        </w:tc>
        <w:tc>
          <w:tcPr>
            <w:tcW w:w="11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131.05 </w:t>
            </w:r>
          </w:p>
        </w:tc>
        <w:tc>
          <w:tcPr>
            <w:tcW w:w="99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11.76 </w:t>
            </w:r>
          </w:p>
        </w:tc>
        <w:tc>
          <w:tcPr>
            <w:tcW w:w="26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人员经费补助增加</w:t>
            </w:r>
          </w:p>
        </w:tc>
      </w:tr>
      <w:tr>
        <w:tblPrEx>
          <w:tblCellMar>
            <w:top w:w="0" w:type="dxa"/>
            <w:left w:w="108" w:type="dxa"/>
            <w:bottom w:w="0" w:type="dxa"/>
            <w:right w:w="108" w:type="dxa"/>
          </w:tblCellMar>
        </w:tblPrEx>
        <w:trPr>
          <w:trHeight w:val="60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事业收入</w:t>
            </w:r>
          </w:p>
        </w:tc>
        <w:tc>
          <w:tcPr>
            <w:tcW w:w="1038"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 </w:t>
            </w:r>
          </w:p>
        </w:tc>
        <w:tc>
          <w:tcPr>
            <w:tcW w:w="11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 </w:t>
            </w:r>
          </w:p>
        </w:tc>
        <w:tc>
          <w:tcPr>
            <w:tcW w:w="99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 </w:t>
            </w:r>
          </w:p>
        </w:tc>
        <w:tc>
          <w:tcPr>
            <w:tcW w:w="2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68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w:t>
            </w:r>
          </w:p>
        </w:tc>
        <w:tc>
          <w:tcPr>
            <w:tcW w:w="197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人员经费</w:t>
            </w:r>
          </w:p>
        </w:tc>
        <w:tc>
          <w:tcPr>
            <w:tcW w:w="1038"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99.59</w:t>
            </w:r>
          </w:p>
        </w:tc>
        <w:tc>
          <w:tcPr>
            <w:tcW w:w="11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104.99 </w:t>
            </w:r>
          </w:p>
        </w:tc>
        <w:tc>
          <w:tcPr>
            <w:tcW w:w="99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5.4 </w:t>
            </w:r>
          </w:p>
        </w:tc>
        <w:tc>
          <w:tcPr>
            <w:tcW w:w="2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人员经费补助增加</w:t>
            </w:r>
          </w:p>
        </w:tc>
      </w:tr>
      <w:tr>
        <w:tblPrEx>
          <w:tblCellMar>
            <w:top w:w="0" w:type="dxa"/>
            <w:left w:w="108" w:type="dxa"/>
            <w:bottom w:w="0" w:type="dxa"/>
            <w:right w:w="108" w:type="dxa"/>
          </w:tblCellMar>
        </w:tblPrEx>
        <w:trPr>
          <w:trHeight w:val="600" w:hRule="atLeast"/>
        </w:trPr>
        <w:tc>
          <w:tcPr>
            <w:tcW w:w="6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日常公用经费</w:t>
            </w:r>
          </w:p>
        </w:tc>
        <w:tc>
          <w:tcPr>
            <w:tcW w:w="1038"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19.7 </w:t>
            </w:r>
          </w:p>
        </w:tc>
        <w:tc>
          <w:tcPr>
            <w:tcW w:w="1134" w:type="dxa"/>
            <w:tcBorders>
              <w:top w:val="nil"/>
              <w:left w:val="nil"/>
              <w:bottom w:val="single" w:color="auto" w:sz="4" w:space="0"/>
              <w:right w:val="single" w:color="auto" w:sz="4" w:space="0"/>
            </w:tcBorders>
            <w:noWrap/>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26.06</w:t>
            </w:r>
          </w:p>
        </w:tc>
        <w:tc>
          <w:tcPr>
            <w:tcW w:w="99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6.36 </w:t>
            </w:r>
          </w:p>
        </w:tc>
        <w:tc>
          <w:tcPr>
            <w:tcW w:w="2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罚没款返还经费等</w:t>
            </w:r>
          </w:p>
        </w:tc>
      </w:tr>
      <w:tr>
        <w:tblPrEx>
          <w:tblCellMar>
            <w:top w:w="0" w:type="dxa"/>
            <w:left w:w="108" w:type="dxa"/>
            <w:bottom w:w="0" w:type="dxa"/>
            <w:right w:w="108" w:type="dxa"/>
          </w:tblCellMar>
        </w:tblPrEx>
        <w:trPr>
          <w:trHeight w:val="630" w:hRule="atLeast"/>
        </w:trPr>
        <w:tc>
          <w:tcPr>
            <w:tcW w:w="6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7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3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11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992" w:type="dxa"/>
            <w:tcBorders>
              <w:top w:val="nil"/>
              <w:left w:val="nil"/>
              <w:bottom w:val="single" w:color="auto" w:sz="4" w:space="0"/>
              <w:right w:val="single" w:color="auto" w:sz="4" w:space="0"/>
            </w:tcBorders>
            <w:noWrap/>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26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bl>
    <w:p>
      <w:pPr>
        <w:snapToGrid w:val="0"/>
        <w:spacing w:line="576"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（1）各项收入占总收入的比重，各项支出占总支出的比重（可分别制作饼状图）。</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今年本单位总收入131.05万元。其中：财政拨款106.79万元，占总收入的81.49%。事业收入24.26万元，占总收入的18.51%。</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今年本单位基本支出131.05万元。其中：人员经费支出104.99万元，占总支出的80.11%，日常公用经费26.06万元，占总支出的19.89%。</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（2）收入支出按部门所属单位分布情况（可列表）。</w:t>
      </w:r>
    </w:p>
    <w:p>
      <w:pPr>
        <w:snapToGrid w:val="0"/>
        <w:spacing w:line="576"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
          <w:sz w:val="32"/>
          <w:szCs w:val="32"/>
        </w:rPr>
        <w:t>“</w:t>
      </w:r>
      <w:r>
        <w:rPr>
          <w:rFonts w:hint="eastAsia" w:ascii="仿宋_GB2312" w:hAnsi="仿宋" w:eastAsia="仿宋_GB2312"/>
          <w:sz w:val="32"/>
          <w:szCs w:val="32"/>
        </w:rPr>
        <w:t>三公</w:t>
      </w:r>
      <w:r>
        <w:rPr>
          <w:rFonts w:hint="eastAsia" w:ascii="仿宋_GB2312" w:hAnsi="仿宋" w:eastAsia="仿宋_GB2312"/>
          <w:b/>
          <w:sz w:val="32"/>
          <w:szCs w:val="32"/>
        </w:rPr>
        <w:t>”</w:t>
      </w:r>
      <w:r>
        <w:rPr>
          <w:rFonts w:hint="eastAsia" w:ascii="仿宋_GB2312" w:hAnsi="仿宋" w:eastAsia="仿宋_GB2312"/>
          <w:sz w:val="32"/>
          <w:szCs w:val="32"/>
        </w:rPr>
        <w:t>经费支出情况：可进行上下年对比、预决算对比，人均支出情况分析（可做表、柱图、折线图）。</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本年预决算无“三公”经费支出，跟上年无变化。</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（2）会议费支出情况：可进行上下年对比、预决算对比，人均支出情况分析（可做表、柱图、折线图）。</w:t>
      </w:r>
    </w:p>
    <w:tbl>
      <w:tblPr>
        <w:tblStyle w:val="6"/>
        <w:tblW w:w="0" w:type="auto"/>
        <w:tblInd w:w="93" w:type="dxa"/>
        <w:tblLayout w:type="fixed"/>
        <w:tblCellMar>
          <w:top w:w="0" w:type="dxa"/>
          <w:left w:w="108" w:type="dxa"/>
          <w:bottom w:w="0" w:type="dxa"/>
          <w:right w:w="108" w:type="dxa"/>
        </w:tblCellMar>
      </w:tblPr>
      <w:tblGrid>
        <w:gridCol w:w="1227"/>
        <w:gridCol w:w="2511"/>
        <w:gridCol w:w="2511"/>
        <w:gridCol w:w="1227"/>
        <w:gridCol w:w="1425"/>
      </w:tblGrid>
      <w:tr>
        <w:tblPrEx>
          <w:tblCellMar>
            <w:top w:w="0" w:type="dxa"/>
            <w:left w:w="108" w:type="dxa"/>
            <w:bottom w:w="0" w:type="dxa"/>
            <w:right w:w="108" w:type="dxa"/>
          </w:tblCellMar>
        </w:tblPrEx>
        <w:trPr>
          <w:trHeight w:val="499" w:hRule="atLeast"/>
        </w:trPr>
        <w:tc>
          <w:tcPr>
            <w:tcW w:w="8901" w:type="dxa"/>
            <w:gridSpan w:val="5"/>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会议费支出情况（万元）</w:t>
            </w:r>
          </w:p>
        </w:tc>
      </w:tr>
      <w:tr>
        <w:tblPrEx>
          <w:tblCellMar>
            <w:top w:w="0" w:type="dxa"/>
            <w:left w:w="108" w:type="dxa"/>
            <w:bottom w:w="0" w:type="dxa"/>
            <w:right w:w="108" w:type="dxa"/>
          </w:tblCellMar>
        </w:tblPrEx>
        <w:trPr>
          <w:trHeight w:val="499" w:hRule="atLeast"/>
        </w:trPr>
        <w:tc>
          <w:tcPr>
            <w:tcW w:w="122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w:t>
            </w:r>
          </w:p>
        </w:tc>
        <w:tc>
          <w:tcPr>
            <w:tcW w:w="767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与上年对比</w:t>
            </w:r>
          </w:p>
        </w:tc>
      </w:tr>
      <w:tr>
        <w:tblPrEx>
          <w:tblCellMar>
            <w:top w:w="0" w:type="dxa"/>
            <w:left w:w="108" w:type="dxa"/>
            <w:bottom w:w="0" w:type="dxa"/>
            <w:right w:w="108" w:type="dxa"/>
          </w:tblCellMar>
        </w:tblPrEx>
        <w:trPr>
          <w:trHeight w:val="499" w:hRule="atLeast"/>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8"/>
                <w:szCs w:val="28"/>
              </w:rPr>
            </w:pP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2018年实际数</w:t>
            </w: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2017年实际数</w:t>
            </w:r>
          </w:p>
        </w:tc>
        <w:tc>
          <w:tcPr>
            <w:tcW w:w="12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增减额</w:t>
            </w:r>
          </w:p>
        </w:tc>
        <w:tc>
          <w:tcPr>
            <w:tcW w:w="14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增加比%</w:t>
            </w:r>
          </w:p>
        </w:tc>
      </w:tr>
      <w:tr>
        <w:tblPrEx>
          <w:tblCellMar>
            <w:top w:w="0" w:type="dxa"/>
            <w:left w:w="108" w:type="dxa"/>
            <w:bottom w:w="0" w:type="dxa"/>
            <w:right w:w="108" w:type="dxa"/>
          </w:tblCellMar>
        </w:tblPrEx>
        <w:trPr>
          <w:trHeight w:val="499" w:hRule="atLeast"/>
        </w:trPr>
        <w:tc>
          <w:tcPr>
            <w:tcW w:w="12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会议费</w:t>
            </w: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0.8</w:t>
            </w: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0.61</w:t>
            </w:r>
          </w:p>
        </w:tc>
        <w:tc>
          <w:tcPr>
            <w:tcW w:w="12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0.19</w:t>
            </w:r>
          </w:p>
        </w:tc>
        <w:tc>
          <w:tcPr>
            <w:tcW w:w="14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31.14%</w:t>
            </w:r>
          </w:p>
        </w:tc>
      </w:tr>
    </w:tbl>
    <w:p>
      <w:pPr>
        <w:snapToGrid w:val="0"/>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（3）培训费支出情况：可进行上下年对比、预决算对比，人均支出情况分析（可做表、柱图、折线图）。</w:t>
      </w:r>
    </w:p>
    <w:tbl>
      <w:tblPr>
        <w:tblStyle w:val="6"/>
        <w:tblW w:w="0" w:type="auto"/>
        <w:tblInd w:w="93" w:type="dxa"/>
        <w:tblLayout w:type="fixed"/>
        <w:tblCellMar>
          <w:top w:w="0" w:type="dxa"/>
          <w:left w:w="108" w:type="dxa"/>
          <w:bottom w:w="0" w:type="dxa"/>
          <w:right w:w="108" w:type="dxa"/>
        </w:tblCellMar>
      </w:tblPr>
      <w:tblGrid>
        <w:gridCol w:w="1227"/>
        <w:gridCol w:w="2511"/>
        <w:gridCol w:w="2511"/>
        <w:gridCol w:w="1227"/>
        <w:gridCol w:w="1425"/>
      </w:tblGrid>
      <w:tr>
        <w:tblPrEx>
          <w:tblCellMar>
            <w:top w:w="0" w:type="dxa"/>
            <w:left w:w="108" w:type="dxa"/>
            <w:bottom w:w="0" w:type="dxa"/>
            <w:right w:w="108" w:type="dxa"/>
          </w:tblCellMar>
        </w:tblPrEx>
        <w:trPr>
          <w:trHeight w:val="499" w:hRule="atLeast"/>
        </w:trPr>
        <w:tc>
          <w:tcPr>
            <w:tcW w:w="8901" w:type="dxa"/>
            <w:gridSpan w:val="5"/>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培训费支出情况（万元）</w:t>
            </w:r>
          </w:p>
        </w:tc>
      </w:tr>
      <w:tr>
        <w:tblPrEx>
          <w:tblCellMar>
            <w:top w:w="0" w:type="dxa"/>
            <w:left w:w="108" w:type="dxa"/>
            <w:bottom w:w="0" w:type="dxa"/>
            <w:right w:w="108" w:type="dxa"/>
          </w:tblCellMar>
        </w:tblPrEx>
        <w:trPr>
          <w:trHeight w:val="499" w:hRule="atLeast"/>
        </w:trPr>
        <w:tc>
          <w:tcPr>
            <w:tcW w:w="122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w:t>
            </w:r>
          </w:p>
        </w:tc>
        <w:tc>
          <w:tcPr>
            <w:tcW w:w="767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与上年对比</w:t>
            </w:r>
          </w:p>
        </w:tc>
      </w:tr>
      <w:tr>
        <w:tblPrEx>
          <w:tblCellMar>
            <w:top w:w="0" w:type="dxa"/>
            <w:left w:w="108" w:type="dxa"/>
            <w:bottom w:w="0" w:type="dxa"/>
            <w:right w:w="108" w:type="dxa"/>
          </w:tblCellMar>
        </w:tblPrEx>
        <w:trPr>
          <w:trHeight w:val="499" w:hRule="atLeast"/>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8"/>
                <w:szCs w:val="28"/>
              </w:rPr>
            </w:pP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2018年实际数</w:t>
            </w: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2017年实际数</w:t>
            </w:r>
          </w:p>
        </w:tc>
        <w:tc>
          <w:tcPr>
            <w:tcW w:w="12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增减额</w:t>
            </w:r>
          </w:p>
        </w:tc>
        <w:tc>
          <w:tcPr>
            <w:tcW w:w="14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增加比%</w:t>
            </w:r>
          </w:p>
        </w:tc>
      </w:tr>
      <w:tr>
        <w:tblPrEx>
          <w:tblCellMar>
            <w:top w:w="0" w:type="dxa"/>
            <w:left w:w="108" w:type="dxa"/>
            <w:bottom w:w="0" w:type="dxa"/>
            <w:right w:w="108" w:type="dxa"/>
          </w:tblCellMar>
        </w:tblPrEx>
        <w:trPr>
          <w:trHeight w:val="499" w:hRule="atLeast"/>
        </w:trPr>
        <w:tc>
          <w:tcPr>
            <w:tcW w:w="12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培训费</w:t>
            </w: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0.8</w:t>
            </w:r>
          </w:p>
        </w:tc>
        <w:tc>
          <w:tcPr>
            <w:tcW w:w="251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0.7</w:t>
            </w:r>
          </w:p>
        </w:tc>
        <w:tc>
          <w:tcPr>
            <w:tcW w:w="12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0.1</w:t>
            </w:r>
          </w:p>
        </w:tc>
        <w:tc>
          <w:tcPr>
            <w:tcW w:w="14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14.28%</w:t>
            </w:r>
          </w:p>
        </w:tc>
      </w:tr>
    </w:tbl>
    <w:p>
      <w:pPr>
        <w:snapToGrid w:val="0"/>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（4）其他对部门（单位）影响较大的支出情况。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（5）重点经济分类支出中存在的问题及改进措施。</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4.财政拨款收入、支出分析。</w:t>
      </w:r>
      <w:r>
        <w:rPr>
          <w:rFonts w:hint="eastAsia" w:ascii="仿宋_GB2312" w:hAnsi="仿宋" w:eastAsia="仿宋_GB2312"/>
          <w:sz w:val="32"/>
          <w:szCs w:val="32"/>
        </w:rPr>
        <w:t>分析财政拨款收入、支出总体情况，支出要按照基本支出和项目支出分析具体构成及特点。</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2018年财政拨款收入131.05万元。</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2018年财政拨款支出131.05万元。</w:t>
      </w:r>
    </w:p>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（三）年末结转和结余情况。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1．分资金来源、资金性质结转和结余情况，特别是项目经费结转和结余情况。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2．分单位结转和结余情况。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3．结转和结余规模较大的原因分析及消化结转和结余的对策。</w:t>
      </w:r>
    </w:p>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（四）当年预算执行中存在问题、原因及改进措施。</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0" w:firstLineChars="200"/>
        <w:rPr>
          <w:rFonts w:ascii="方正黑体简体" w:hAnsi="方正黑体简体" w:eastAsia="方正黑体简体" w:cs="方正黑体简体"/>
          <w:sz w:val="32"/>
          <w:szCs w:val="32"/>
        </w:rPr>
      </w:pPr>
      <w:bookmarkStart w:id="2" w:name="YS060103"/>
      <w:r>
        <w:rPr>
          <w:rFonts w:hint="eastAsia" w:ascii="方正黑体简体" w:hAnsi="方正黑体简体" w:eastAsia="方正黑体简体" w:cs="方正黑体简体"/>
          <w:sz w:val="32"/>
          <w:szCs w:val="32"/>
        </w:rPr>
        <w:t>三、资产负债情况分析</w:t>
      </w:r>
    </w:p>
    <w:bookmarkEnd w:id="2"/>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年末部门（单位）资产、负债基本情况，与上年度对比情况，包括增减绝对值与幅度，增减变动主要原因(可用柱形图或折线图)。</w:t>
      </w:r>
    </w:p>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（一）资产负债结构情况。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对资产负债具体构成进行分析，可从占比、上下年变动等方面进行分析（可用饼图、柱图或折线图），重点说明主要资产、负债基本情况、变动情况及原因。</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本年资产合计304.97万元，上年资产合计306.54万元。变动主要原因是减少1.57万元的银行存款。</w:t>
      </w:r>
    </w:p>
    <w:p>
      <w:pPr>
        <w:snapToGrid w:val="0"/>
        <w:spacing w:line="576"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（二）资产负债对比分析。</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计算资产负债率，可进行连续年度的对比，分析部门资产负债管理中存在的问题，加强资产效益管理，避免潜在的资产负债风险。</w:t>
      </w:r>
    </w:p>
    <w:p>
      <w:pPr>
        <w:snapToGrid w:val="0"/>
        <w:spacing w:line="576" w:lineRule="exact"/>
        <w:ind w:firstLine="640" w:firstLineChars="200"/>
        <w:rPr>
          <w:rFonts w:ascii="黑体" w:hAnsi="黑体" w:eastAsia="黑体"/>
          <w:sz w:val="32"/>
          <w:szCs w:val="32"/>
        </w:rPr>
      </w:pPr>
      <w:bookmarkStart w:id="3" w:name="YS060104"/>
      <w:r>
        <w:rPr>
          <w:rFonts w:hint="eastAsia" w:ascii="黑体" w:hAnsi="黑体" w:eastAsia="黑体"/>
          <w:sz w:val="32"/>
          <w:szCs w:val="32"/>
        </w:rPr>
        <w:t>四、本年度部门决算等财务工作开展情况</w:t>
      </w:r>
    </w:p>
    <w:bookmarkEnd w:id="3"/>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（一）本部门（单位）财务管理、决算组织、编报、审核情况。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认真开展相关工作，组织人员对上报的部门决算数据进行审核。</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（二）本部门（单位）决算公开工作、主管部门对所属单位按规定批复决算工作开展情况。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根据财政部门的工作安排开展工作，按照规定批复预决算工作。</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（三）对部门（单位）决算管理及报表设计的意见建议。</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（四）对加强部门决算数据分析利用工作的建议。</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76" w:lineRule="exact"/>
        <w:ind w:firstLine="640" w:firstLineChars="200"/>
        <w:rPr>
          <w:rFonts w:ascii="仿宋_GB2312" w:hAnsi="仿宋" w:eastAsia="仿宋_GB2312"/>
          <w:sz w:val="32"/>
          <w:szCs w:val="32"/>
        </w:rPr>
      </w:pPr>
    </w:p>
    <w:p>
      <w:pPr>
        <w:spacing w:line="576" w:lineRule="exact"/>
      </w:pPr>
    </w:p>
    <w:p>
      <w:pPr>
        <w:spacing w:line="576" w:lineRule="exact"/>
      </w:pPr>
    </w:p>
    <w:p>
      <w:pPr>
        <w:snapToGrid w:val="0"/>
        <w:spacing w:line="576" w:lineRule="exact"/>
        <w:jc w:val="center"/>
        <w:rPr>
          <w:rFonts w:ascii="仿宋_GB2312" w:hAnsi="仿宋" w:eastAsia="仿宋_GB2312"/>
          <w:sz w:val="32"/>
          <w:szCs w:val="32"/>
        </w:rPr>
      </w:pPr>
      <w:r>
        <w:rPr>
          <w:rFonts w:hint="eastAsia" w:ascii="仿宋" w:hAnsi="仿宋" w:eastAsia="仿宋" w:cs="仿宋"/>
          <w:sz w:val="32"/>
          <w:szCs w:val="32"/>
        </w:rPr>
        <w:t xml:space="preserve">       </w:t>
      </w:r>
      <w:bookmarkStart w:id="4" w:name="_GoBack"/>
      <w:bookmarkEnd w:id="4"/>
    </w:p>
    <w:p>
      <w:pPr>
        <w:spacing w:line="576"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B890479"/>
    <w:rsid w:val="00056B18"/>
    <w:rsid w:val="000C1C57"/>
    <w:rsid w:val="000E1491"/>
    <w:rsid w:val="001114BD"/>
    <w:rsid w:val="00135501"/>
    <w:rsid w:val="0015027B"/>
    <w:rsid w:val="00273F79"/>
    <w:rsid w:val="00280CC1"/>
    <w:rsid w:val="003D6150"/>
    <w:rsid w:val="00426C78"/>
    <w:rsid w:val="00507D19"/>
    <w:rsid w:val="00522DD6"/>
    <w:rsid w:val="00565350"/>
    <w:rsid w:val="0070267C"/>
    <w:rsid w:val="00893239"/>
    <w:rsid w:val="008E3DCD"/>
    <w:rsid w:val="008E760B"/>
    <w:rsid w:val="00903C4B"/>
    <w:rsid w:val="009A22A0"/>
    <w:rsid w:val="009C5016"/>
    <w:rsid w:val="009D6033"/>
    <w:rsid w:val="00BD11B0"/>
    <w:rsid w:val="00C0325D"/>
    <w:rsid w:val="00C83C54"/>
    <w:rsid w:val="00D84E1F"/>
    <w:rsid w:val="00DE038A"/>
    <w:rsid w:val="00DF4CE4"/>
    <w:rsid w:val="00E12E76"/>
    <w:rsid w:val="00E4761F"/>
    <w:rsid w:val="00EE4663"/>
    <w:rsid w:val="00EE50BC"/>
    <w:rsid w:val="00F62B0B"/>
    <w:rsid w:val="05A77F4A"/>
    <w:rsid w:val="0F097620"/>
    <w:rsid w:val="1B890479"/>
    <w:rsid w:val="1D935C53"/>
    <w:rsid w:val="1FF2605F"/>
    <w:rsid w:val="2919626A"/>
    <w:rsid w:val="2C18548B"/>
    <w:rsid w:val="30352DF8"/>
    <w:rsid w:val="35CC05FE"/>
    <w:rsid w:val="35CC6F3C"/>
    <w:rsid w:val="3DB2169D"/>
    <w:rsid w:val="3FC24288"/>
    <w:rsid w:val="46471EFA"/>
    <w:rsid w:val="52327D42"/>
    <w:rsid w:val="6E062CC1"/>
    <w:rsid w:val="7F68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页眉 Char"/>
    <w:basedOn w:val="7"/>
    <w:link w:val="4"/>
    <w:uiPriority w:val="0"/>
    <w:rPr>
      <w:kern w:val="2"/>
      <w:sz w:val="18"/>
      <w:szCs w:val="18"/>
    </w:rPr>
  </w:style>
  <w:style w:type="character" w:customStyle="1" w:styleId="9">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2125</Characters>
  <Lines>17</Lines>
  <Paragraphs>4</Paragraphs>
  <TotalTime>161</TotalTime>
  <ScaleCrop>false</ScaleCrop>
  <LinksUpToDate>false</LinksUpToDate>
  <CharactersWithSpaces>2493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2019-02-01T06:07:00Z</dcterms:created>
  <dc:creator>admin</dc:creator>
  <cp:lastModifiedBy>Administrator</cp:lastModifiedBy>
  <dcterms:modified xsi:type="dcterms:W3CDTF">2021-06-03T01:37:49Z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95269A220EA340709C450681EF79C573</vt:lpwstr>
  </property>
</Properties>
</file>