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宋体" w:hAnsi="宋体"/>
          <w:b/>
          <w:sz w:val="36"/>
          <w:szCs w:val="36"/>
        </w:rPr>
      </w:pPr>
      <w:bookmarkStart w:id="0" w:name="第七部分部门决算分析报告撰写提纲"/>
    </w:p>
    <w:p>
      <w:pPr>
        <w:snapToGrid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开江县人民医院</w:t>
      </w:r>
    </w:p>
    <w:p>
      <w:pPr>
        <w:snapToGrid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2018年部门决算分析报告</w:t>
      </w:r>
    </w:p>
    <w:p>
      <w:pPr>
        <w:snapToGrid w:val="0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bookmarkStart w:id="1" w:name="YS060101"/>
      <w:r>
        <w:rPr>
          <w:rFonts w:hint="eastAsia" w:ascii="黑体" w:hAnsi="黑体" w:eastAsia="黑体"/>
          <w:sz w:val="32"/>
          <w:szCs w:val="32"/>
        </w:rPr>
        <w:t>一、单位情况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（一）基本情况。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1．主要职能。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开江县人民医院是开江县唯一一所集医疗、教学、科研、急救及预防保健为一体的国家公立“二级甲等”综合医院、国际爱婴医院。是达州市“120”急救指挥分中心，是开江县新农合、城镇（职工）医保、交通事故、各种保险的定点急救医院，担负着全县60余万人民的康复保健、疾病救治和院前急救工作</w:t>
      </w:r>
      <w:r>
        <w:rPr>
          <w:rFonts w:hint="eastAsia" w:ascii="仿宋_GB2312" w:hAnsi="仿宋" w:eastAsia="仿宋_GB2312"/>
          <w:sz w:val="32"/>
          <w:szCs w:val="32"/>
        </w:rPr>
        <w:t>2．机构情况，包括当年变动情况及原因。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2．机构情况，纳入2018年部门决算编报的单位共1个，事业单位管理。机构数量无增减变动。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3．人员情况，包括当年变动情况及原因。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截至</w:t>
      </w:r>
      <w:r>
        <w:rPr>
          <w:rFonts w:hint="eastAsia" w:ascii="仿宋_GB2312" w:hAnsi="仿宋" w:eastAsia="仿宋_GB2312"/>
          <w:sz w:val="32"/>
          <w:szCs w:val="32"/>
        </w:rPr>
        <w:t>2018年12月31日年末编制人数在职职工人数380人，因编制核减，比上年减少40人。年末在职人数488人，比上年增加138人。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（二）当年取得的主要事业成效。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bookmarkStart w:id="2" w:name="YS060102"/>
      <w:r>
        <w:rPr>
          <w:rFonts w:hint="eastAsia" w:ascii="仿宋_GB2312" w:hAnsi="仿宋" w:eastAsia="仿宋_GB2312"/>
          <w:sz w:val="32"/>
          <w:szCs w:val="32"/>
        </w:rPr>
        <w:t>2018年度全年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收治</w:t>
      </w:r>
      <w:r>
        <w:rPr>
          <w:rFonts w:hint="eastAsia" w:ascii="仿宋_GB2312" w:hAnsi="仿宋" w:eastAsia="仿宋_GB2312"/>
          <w:sz w:val="32"/>
          <w:szCs w:val="32"/>
        </w:rPr>
        <w:t>患者</w:t>
      </w:r>
      <w:r>
        <w:rPr>
          <w:rFonts w:ascii="仿宋_GB2312" w:hAnsi="仿宋" w:eastAsia="仿宋_GB2312"/>
          <w:sz w:val="32"/>
          <w:szCs w:val="32"/>
        </w:rPr>
        <w:t>164,706</w:t>
      </w:r>
      <w:r>
        <w:rPr>
          <w:rFonts w:hint="eastAsia" w:ascii="仿宋_GB2312" w:hAnsi="仿宋" w:eastAsia="仿宋_GB2312"/>
          <w:sz w:val="32"/>
          <w:szCs w:val="32"/>
        </w:rPr>
        <w:t>人次，其中门急诊人次</w:t>
      </w:r>
      <w:r>
        <w:rPr>
          <w:rFonts w:ascii="仿宋_GB2312" w:hAnsi="仿宋" w:eastAsia="仿宋_GB2312"/>
          <w:sz w:val="32"/>
          <w:szCs w:val="32"/>
        </w:rPr>
        <w:t>19,487</w:t>
      </w:r>
      <w:r>
        <w:rPr>
          <w:rFonts w:hint="eastAsia" w:ascii="仿宋_GB2312" w:hAnsi="仿宋" w:eastAsia="仿宋_GB2312"/>
          <w:sz w:val="32"/>
          <w:szCs w:val="32"/>
        </w:rPr>
        <w:t>人次，出院患者</w:t>
      </w:r>
      <w:r>
        <w:rPr>
          <w:rFonts w:ascii="仿宋_GB2312" w:hAnsi="仿宋" w:eastAsia="仿宋_GB2312"/>
          <w:sz w:val="32"/>
          <w:szCs w:val="32"/>
        </w:rPr>
        <w:t>17,717</w:t>
      </w:r>
      <w:r>
        <w:rPr>
          <w:rFonts w:hint="eastAsia" w:ascii="仿宋_GB2312" w:hAnsi="仿宋" w:eastAsia="仿宋_GB2312"/>
          <w:sz w:val="32"/>
          <w:szCs w:val="32"/>
        </w:rPr>
        <w:t>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2018年度药占比26.88% ，低于国家药占比规定2.12%。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78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在上级主管部门的领导下，服务能力持续提升，改善医院服务形象，提升科技服务含量，建立远程医疗会诊中心。加大人才引进力度，人才紧张趋于缓解。打造学科带头人，引进新技术新项目等方面取得了较好的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方正仿宋简体" w:hAnsi="黑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二、收入支出预算执行情况分析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（一）收入支出预算安排情况。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包括部门（单位）收入、支出年初预算安排情况，与上年对比情况及增减变动原因，年度执行中调整情况，调整原因说明。</w:t>
      </w:r>
    </w:p>
    <w:tbl>
      <w:tblPr>
        <w:tblStyle w:val="5"/>
        <w:tblW w:w="88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140"/>
        <w:gridCol w:w="1100"/>
        <w:gridCol w:w="1240"/>
        <w:gridCol w:w="4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收入、支出年初预算上下年对比（单位：万元）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上年年初预算数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本年年初预算数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差异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差异比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>
        <w:trPr>
          <w:trHeight w:val="54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11942.36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13465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1523.07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12.75%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事业收入有所增加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收入、支出年初预算与调整预算数对比（单位：万元）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年初预  算数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调整预  算数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差异</w:t>
            </w:r>
          </w:p>
        </w:tc>
        <w:tc>
          <w:tcPr>
            <w:tcW w:w="5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13465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17635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4169.85</w:t>
            </w:r>
          </w:p>
        </w:tc>
        <w:tc>
          <w:tcPr>
            <w:tcW w:w="5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事业收入有所增加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（二）收入支出预算执行情况。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当年收入支出预算执行基本情况，与上年度对比情况，包括增减绝对值与幅度，增减变动主要原因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可用柱形图或折线图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1．收入支出与预算对比分析。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（1）预、决算差异情况，可分收入支出功能科目、分单位、分收入支出具体项目逐项对比（可列表）。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720" w:firstLineChars="21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单位：万元</w:t>
      </w:r>
    </w:p>
    <w:tbl>
      <w:tblPr>
        <w:tblStyle w:val="5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975"/>
        <w:gridCol w:w="1096"/>
        <w:gridCol w:w="1134"/>
        <w:gridCol w:w="992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年初   预算数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    决算数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差异额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4479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4083.86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政府性基金财政拨款增加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13069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13069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支出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6063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5898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165.25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提取五险一金应缴款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日常公用经费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7936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535.11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药品及材料费购置增加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新区医院建设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（2）差异原因分析。差异较大的应分析到具体收入支出功能科目和具体单位。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人员经费增加165.25万元，主要原因为提取了本年五险一金应缴款；财政拨款收入增加4083.86万元，主要原因为增加了政府性基金财政拨款；日常公用经费增加535.11万元，主要原因为药品及材料费购置增加；项目支出增加了3800万，主要是用于新区医院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2．收入支出结构分析。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（1）各项收入占总收入的比重，各项支出占总支出的比重（可分别制作饼状图）。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今年本单位总收入</w:t>
      </w:r>
      <w:r>
        <w:rPr>
          <w:rFonts w:ascii="仿宋_GB2312" w:hAnsi="仿宋" w:eastAsia="仿宋_GB2312"/>
          <w:sz w:val="32"/>
          <w:szCs w:val="32"/>
        </w:rPr>
        <w:t>17635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28</w:t>
      </w:r>
      <w:r>
        <w:rPr>
          <w:rFonts w:hint="eastAsia" w:ascii="仿宋_GB2312" w:hAnsi="仿宋" w:eastAsia="仿宋_GB2312"/>
          <w:sz w:val="32"/>
          <w:szCs w:val="32"/>
        </w:rPr>
        <w:t>万元。其中：财政拨款</w:t>
      </w:r>
      <w:r>
        <w:rPr>
          <w:rFonts w:ascii="仿宋_GB2312" w:hAnsi="仿宋" w:eastAsia="仿宋_GB2312"/>
          <w:sz w:val="32"/>
          <w:szCs w:val="32"/>
        </w:rPr>
        <w:t>4479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86</w:t>
      </w:r>
      <w:r>
        <w:rPr>
          <w:rFonts w:hint="eastAsia" w:ascii="仿宋_GB2312" w:hAnsi="仿宋" w:eastAsia="仿宋_GB2312"/>
          <w:sz w:val="32"/>
          <w:szCs w:val="32"/>
        </w:rPr>
        <w:t>万元，占比25.40%；事业收入</w:t>
      </w:r>
      <w:r>
        <w:rPr>
          <w:rFonts w:ascii="仿宋_GB2312" w:hAnsi="仿宋" w:eastAsia="仿宋_GB2312"/>
          <w:sz w:val="32"/>
          <w:szCs w:val="32"/>
        </w:rPr>
        <w:t>13069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3万元，占比74.11%。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今年本单位基本支出</w:t>
      </w:r>
      <w:r>
        <w:rPr>
          <w:rFonts w:ascii="仿宋_GB2312" w:hAnsi="仿宋" w:eastAsia="仿宋_GB2312"/>
          <w:sz w:val="32"/>
          <w:szCs w:val="32"/>
        </w:rPr>
        <w:t>13835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28</w:t>
      </w:r>
      <w:r>
        <w:rPr>
          <w:rFonts w:hint="eastAsia" w:ascii="仿宋_GB2312" w:hAnsi="仿宋" w:eastAsia="仿宋_GB2312"/>
          <w:sz w:val="32"/>
          <w:szCs w:val="32"/>
        </w:rPr>
        <w:t>万元。其中：人员经费支出</w:t>
      </w:r>
      <w:r>
        <w:rPr>
          <w:rFonts w:ascii="仿宋_GB2312" w:hAnsi="仿宋" w:eastAsia="仿宋_GB2312"/>
          <w:sz w:val="32"/>
          <w:szCs w:val="32"/>
        </w:rPr>
        <w:t>5898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74</w:t>
      </w:r>
      <w:r>
        <w:rPr>
          <w:rFonts w:hint="eastAsia" w:ascii="仿宋_GB2312" w:hAnsi="仿宋" w:eastAsia="仿宋_GB2312"/>
          <w:sz w:val="32"/>
          <w:szCs w:val="32"/>
        </w:rPr>
        <w:t>万元，日常公用经费</w:t>
      </w:r>
      <w:r>
        <w:rPr>
          <w:rFonts w:ascii="仿宋_GB2312" w:hAnsi="仿宋" w:eastAsia="仿宋_GB2312"/>
          <w:sz w:val="32"/>
          <w:szCs w:val="32"/>
        </w:rPr>
        <w:t>7936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54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（2）收入支出按部门所属单位分布情况（可列表）。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3．支出按经济分类科目分析。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</w:t>
      </w:r>
      <w:r>
        <w:rPr>
          <w:rFonts w:hint="eastAsia" w:ascii="仿宋_GB2312" w:hAnsi="仿宋" w:eastAsia="仿宋_GB2312"/>
          <w:b/>
          <w:sz w:val="32"/>
          <w:szCs w:val="32"/>
        </w:rPr>
        <w:t>“</w:t>
      </w:r>
      <w:r>
        <w:rPr>
          <w:rFonts w:hint="eastAsia" w:ascii="仿宋_GB2312" w:hAnsi="仿宋" w:eastAsia="仿宋_GB2312"/>
          <w:sz w:val="32"/>
          <w:szCs w:val="32"/>
        </w:rPr>
        <w:t>三公</w:t>
      </w:r>
      <w:r>
        <w:rPr>
          <w:rFonts w:hint="eastAsia" w:ascii="仿宋_GB2312" w:hAnsi="仿宋" w:eastAsia="仿宋_GB2312"/>
          <w:b/>
          <w:sz w:val="32"/>
          <w:szCs w:val="32"/>
        </w:rPr>
        <w:t>”</w:t>
      </w:r>
      <w:r>
        <w:rPr>
          <w:rFonts w:hint="eastAsia" w:ascii="仿宋_GB2312" w:hAnsi="仿宋" w:eastAsia="仿宋_GB2312"/>
          <w:sz w:val="32"/>
          <w:szCs w:val="32"/>
        </w:rPr>
        <w:t>经费支出情况：可进行上下年对比、预决算对比，人均支出情况分析（可做表、柱图、折线图）。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</w:p>
    <w:tbl>
      <w:tblPr>
        <w:tblStyle w:val="5"/>
        <w:tblW w:w="891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404"/>
        <w:gridCol w:w="2404"/>
        <w:gridCol w:w="1196"/>
        <w:gridCol w:w="1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1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三公经费支出情况（万元）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7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与上年对比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2018年实际数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2017年实际数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增减额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增加比%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购置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及运行费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64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64.12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0.87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34.42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ind w:right="14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-15.05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-43.72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（2）会议费支出情况：可进行上下年对比、预决算对比，人均支出情况分析（可做表、柱图、折线图）。</w:t>
      </w:r>
    </w:p>
    <w:tbl>
      <w:tblPr>
        <w:tblStyle w:val="5"/>
        <w:tblW w:w="890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511"/>
        <w:gridCol w:w="2511"/>
        <w:gridCol w:w="1227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会议费支出情况（万元）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76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与上年对比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2018年实际数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2017年实际数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增减额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增加比%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会议费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0.30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6.58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2193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（3）培训费支出情况：可进行上下年对比、预决算对比，人均支出情况分析（可做表、柱图、折线图）。</w:t>
      </w:r>
    </w:p>
    <w:tbl>
      <w:tblPr>
        <w:tblStyle w:val="5"/>
        <w:tblW w:w="890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511"/>
        <w:gridCol w:w="2511"/>
        <w:gridCol w:w="1227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培训费支出情况（万元）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76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与上年对比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2018年实际数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2017年实际数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增减额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增加比%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培训费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73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21.19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52.32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78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246.91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（4）其他对部门（单位）影响较大的支出情况。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药品支出3714.50万元，占比21.06%。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（5）重点经济分类支出中存在的问题及改进措施。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4.财政拨款收入、支出分析。</w:t>
      </w:r>
      <w:r>
        <w:rPr>
          <w:rFonts w:hint="eastAsia" w:ascii="仿宋_GB2312" w:hAnsi="仿宋" w:eastAsia="仿宋_GB2312"/>
          <w:sz w:val="32"/>
          <w:szCs w:val="32"/>
        </w:rPr>
        <w:t>分析财政拨款收入、支出总体情况，支出要按照基本支出和项目支出分析具体构成及特点。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2018年财政拨款收入</w:t>
      </w:r>
      <w:r>
        <w:rPr>
          <w:rFonts w:ascii="仿宋_GB2312" w:hAnsi="仿宋" w:eastAsia="仿宋_GB2312"/>
          <w:sz w:val="32"/>
          <w:szCs w:val="32"/>
        </w:rPr>
        <w:t>4479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86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2018年财政拨款支出</w:t>
      </w:r>
      <w:r>
        <w:rPr>
          <w:rFonts w:ascii="仿宋_GB2312" w:hAnsi="仿宋" w:eastAsia="仿宋_GB2312"/>
          <w:sz w:val="32"/>
          <w:szCs w:val="32"/>
        </w:rPr>
        <w:t>4479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86</w:t>
      </w:r>
      <w:r>
        <w:rPr>
          <w:rFonts w:hint="eastAsia" w:ascii="仿宋_GB2312" w:hAnsi="仿宋" w:eastAsia="仿宋_GB2312"/>
          <w:sz w:val="32"/>
          <w:szCs w:val="32"/>
        </w:rPr>
        <w:t>万元，其中：基本支出</w:t>
      </w:r>
      <w:r>
        <w:rPr>
          <w:rFonts w:ascii="仿宋_GB2312" w:hAnsi="仿宋" w:eastAsia="仿宋_GB2312"/>
          <w:sz w:val="32"/>
          <w:szCs w:val="32"/>
        </w:rPr>
        <w:t>679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86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（三）年末结转和结余情况。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1．分资金来源、资金性质结转和结余情况，特别是项目经费结转和结余情况。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2．分单位结转和结余情况。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3．结转和结余规模较大的原因分析及消化结转和结余的对策。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（四）当年预算执行中存在问题、原因及改进措施。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bookmarkStart w:id="3" w:name="YS060103"/>
      <w:r>
        <w:rPr>
          <w:rFonts w:hint="eastAsia" w:ascii="黑体" w:hAnsi="黑体" w:eastAsia="黑体"/>
          <w:sz w:val="32"/>
          <w:szCs w:val="32"/>
        </w:rPr>
        <w:t>三、资产负债情况分析</w:t>
      </w:r>
    </w:p>
    <w:bookmarkEnd w:id="3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年末部门（单位）资产、负债基本情况，与上年度对比情况，包括增减绝对值与幅度，增减变动主要原因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可用柱形图或折线图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（一）资产负债结构情况。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对资产负债具体构成进行分析，可从占比、上下年变动等方面进行分析（可用饼图、柱图或折线图），重点说明主要资产、负债基本情况、变动情况及原因。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2018年度资产总计</w:t>
      </w:r>
      <w:r>
        <w:rPr>
          <w:rFonts w:ascii="仿宋_GB2312" w:hAnsi="仿宋" w:eastAsia="仿宋_GB2312"/>
          <w:sz w:val="32"/>
          <w:szCs w:val="32"/>
        </w:rPr>
        <w:t>25815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17</w:t>
      </w:r>
      <w:r>
        <w:rPr>
          <w:rFonts w:hint="eastAsia" w:ascii="仿宋_GB2312" w:hAnsi="仿宋" w:eastAsia="仿宋_GB2312"/>
          <w:sz w:val="32"/>
          <w:szCs w:val="32"/>
        </w:rPr>
        <w:t>万元，其中流动资产总计</w:t>
      </w:r>
      <w:r>
        <w:rPr>
          <w:rFonts w:ascii="仿宋_GB2312" w:hAnsi="仿宋" w:eastAsia="仿宋_GB2312"/>
          <w:sz w:val="32"/>
          <w:szCs w:val="32"/>
        </w:rPr>
        <w:t>11829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49</w:t>
      </w:r>
      <w:r>
        <w:rPr>
          <w:rFonts w:hint="eastAsia" w:ascii="仿宋_GB2312" w:hAnsi="仿宋" w:eastAsia="仿宋_GB2312"/>
          <w:sz w:val="32"/>
          <w:szCs w:val="32"/>
        </w:rPr>
        <w:t>万元，比上年增长2486.28万元，主要变动原因为银行存款和应收账款的增加。2018年非流动资产总计13985.68万元，比上年13649.83万元增长了335.85万，主要原因为固定资产的增加。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2018年度负债总计</w:t>
      </w:r>
      <w:r>
        <w:rPr>
          <w:rFonts w:ascii="仿宋_GB2312" w:hAnsi="仿宋" w:eastAsia="仿宋_GB2312"/>
          <w:sz w:val="32"/>
          <w:szCs w:val="32"/>
        </w:rPr>
        <w:t>17891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29</w:t>
      </w:r>
      <w:r>
        <w:rPr>
          <w:rFonts w:hint="eastAsia" w:ascii="仿宋_GB2312" w:hAnsi="仿宋" w:eastAsia="仿宋_GB2312"/>
          <w:sz w:val="32"/>
          <w:szCs w:val="32"/>
        </w:rPr>
        <w:t>万元，比上年增长3364.02万元。主要变动原因为短期借款、应付账款和长期借款分别增加了450,934.85和2909.13万元。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（二）资产负债对比分析。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计算资产负债率，可进行连续年度的对比，分析部门资产负债管理中存在的问题，加强资产效益管理，避免潜在的资产负债风险。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2018年度资产负债率为69.31%，2017年度资产负债率为63.18%，差异率为6.13%。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bookmarkStart w:id="4" w:name="YS060104"/>
      <w:r>
        <w:rPr>
          <w:rFonts w:hint="eastAsia" w:ascii="黑体" w:hAnsi="黑体" w:eastAsia="黑体"/>
          <w:sz w:val="32"/>
          <w:szCs w:val="32"/>
        </w:rPr>
        <w:t>四、本年度部门决算等财务工作开展情况</w:t>
      </w:r>
    </w:p>
    <w:bookmarkEnd w:id="4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（一）本部门（单位）财务管理、决算组织、编报、审核情况。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认真开展相关工作，组织人员对上报的部门决算数据进行审核。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（二）本部门（单位）决算公开工作、主管部门对所属单位按规定批复决算工作开展情况。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根据财政部门的工作安排开展工作，按照规定批复预决算工作。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（三）对部门（单位）决算管理及报表设计的意见建议。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（四）对加强部门决算数据分析利用工作的建议。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无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bookmarkStart w:id="5" w:name="_GoBack"/>
      <w:bookmarkEnd w:id="5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773"/>
    <w:rsid w:val="000629D9"/>
    <w:rsid w:val="00092C79"/>
    <w:rsid w:val="000C24FF"/>
    <w:rsid w:val="000D5BC6"/>
    <w:rsid w:val="001007D1"/>
    <w:rsid w:val="001B09FA"/>
    <w:rsid w:val="001B73B5"/>
    <w:rsid w:val="001C0773"/>
    <w:rsid w:val="00233E45"/>
    <w:rsid w:val="00323A4A"/>
    <w:rsid w:val="003D1D84"/>
    <w:rsid w:val="003D2E5D"/>
    <w:rsid w:val="00426D2A"/>
    <w:rsid w:val="004339CD"/>
    <w:rsid w:val="004C716C"/>
    <w:rsid w:val="004D1735"/>
    <w:rsid w:val="00611FA8"/>
    <w:rsid w:val="0062172C"/>
    <w:rsid w:val="0067751F"/>
    <w:rsid w:val="006B1D3A"/>
    <w:rsid w:val="006D26A6"/>
    <w:rsid w:val="006F6E89"/>
    <w:rsid w:val="007F2E42"/>
    <w:rsid w:val="00813FD8"/>
    <w:rsid w:val="008D2830"/>
    <w:rsid w:val="009822A5"/>
    <w:rsid w:val="009A2CC1"/>
    <w:rsid w:val="00A07D6B"/>
    <w:rsid w:val="00A27AEC"/>
    <w:rsid w:val="00B36211"/>
    <w:rsid w:val="00B62CD3"/>
    <w:rsid w:val="00C67125"/>
    <w:rsid w:val="00C72FB3"/>
    <w:rsid w:val="00CD0E2F"/>
    <w:rsid w:val="00D16E09"/>
    <w:rsid w:val="00D34E62"/>
    <w:rsid w:val="00D37402"/>
    <w:rsid w:val="00DA2315"/>
    <w:rsid w:val="00DB7397"/>
    <w:rsid w:val="00DE3A99"/>
    <w:rsid w:val="00E15D4F"/>
    <w:rsid w:val="00E47C83"/>
    <w:rsid w:val="00E82F49"/>
    <w:rsid w:val="00F541BD"/>
    <w:rsid w:val="00F6661A"/>
    <w:rsid w:val="00F76BE5"/>
    <w:rsid w:val="00FC2CA6"/>
    <w:rsid w:val="00FE08A3"/>
    <w:rsid w:val="1B1776F3"/>
    <w:rsid w:val="5088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455</Words>
  <Characters>2596</Characters>
  <Lines>21</Lines>
  <Paragraphs>6</Paragraphs>
  <TotalTime>5</TotalTime>
  <ScaleCrop>false</ScaleCrop>
  <LinksUpToDate>false</LinksUpToDate>
  <CharactersWithSpaces>3045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2019-02-15T01:52:00Z</dcterms:created>
  <dc:creator>陆军</dc:creator>
  <cp:lastModifiedBy>不吃萝卜的兔子</cp:lastModifiedBy>
  <dcterms:modified xsi:type="dcterms:W3CDTF">2021-06-03T05:50:45Z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548658511_btnclosed</vt:lpwstr>
  </property>
  <property fmtid="{D5CDD505-2E9C-101B-9397-08002B2CF9AE}" pid="3" name="KSOProductBuildVer">
    <vt:lpwstr>2052-11.1.0.10495</vt:lpwstr>
  </property>
  <property fmtid="{D5CDD505-2E9C-101B-9397-08002B2CF9AE}" pid="4" name="ICV">
    <vt:lpwstr>BA48F667309C4860BAD9C4809A384BDF</vt:lpwstr>
  </property>
</Properties>
</file>