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bookmarkStart w:id="0" w:name="_Toc15306267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开江县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甘棠镇卫生院</w:t>
      </w:r>
    </w:p>
    <w:p>
      <w:pPr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2018年部门决算分析报告</w:t>
      </w:r>
      <w:bookmarkEnd w:id="0"/>
    </w:p>
    <w:p>
      <w:pPr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firstLine="640" w:firstLineChars="200"/>
        <w:textAlignment w:val="auto"/>
        <w:rPr>
          <w:rStyle w:val="26"/>
          <w:rFonts w:ascii="仿宋" w:hAnsi="仿宋" w:eastAsia="仿宋"/>
          <w:b w:val="0"/>
          <w:bCs w:val="0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部门（单位）情况</w:t>
      </w:r>
      <w:bookmarkStart w:id="31" w:name="_GoBack"/>
      <w:bookmarkEnd w:id="31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578" w:lineRule="exact"/>
        <w:ind w:firstLine="672" w:firstLineChars="210"/>
        <w:textAlignment w:val="auto"/>
        <w:outlineLvl w:val="2"/>
        <w:rPr>
          <w:rFonts w:ascii="仿宋" w:hAnsi="仿宋" w:eastAsia="仿宋"/>
          <w:bCs/>
          <w:color w:val="000000"/>
          <w:sz w:val="32"/>
          <w:szCs w:val="32"/>
        </w:rPr>
      </w:pPr>
      <w:bookmarkStart w:id="1" w:name="_Toc15378445"/>
      <w:bookmarkStart w:id="2" w:name="_Toc15377198"/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主要职能。</w:t>
      </w:r>
      <w:bookmarkEnd w:id="1"/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开江县甘棠镇卫生院位于开梁公路沿线，地处县城南部，幅员面积100平方公里，常住人口5.7万余人，暂住人员1.02万余人，医疗幅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射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面积近300平方公里，幅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射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人口约10万余人。需提供以疾病控制、妇幼保健、基本医疗、健康教育、康复等为主要内容的综合性服务，受县级卫生行政部门委托，承担辖区内公共卫生管理，负责对村级卫生机构的监督管理、技术指导和乡村医生培训等工作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78" w:lineRule="exact"/>
        <w:ind w:firstLine="640" w:firstLineChars="200"/>
        <w:textAlignment w:val="auto"/>
        <w:rPr>
          <w:rStyle w:val="26"/>
          <w:b w:val="0"/>
          <w:bCs w:val="0"/>
        </w:rPr>
      </w:pPr>
      <w:bookmarkStart w:id="3" w:name="_Toc15396601"/>
      <w:bookmarkStart w:id="4" w:name="_Toc15377200"/>
      <w:r>
        <w:rPr>
          <w:rFonts w:hint="eastAsia" w:ascii="黑体" w:hAnsi="黑体" w:eastAsia="黑体"/>
          <w:b w:val="0"/>
          <w:color w:val="000000"/>
          <w:lang w:eastAsia="zh-CN"/>
        </w:rPr>
        <w:t>（二）</w:t>
      </w:r>
      <w:r>
        <w:rPr>
          <w:rFonts w:hint="eastAsia" w:ascii="黑体" w:hAnsi="黑体" w:eastAsia="黑体"/>
          <w:b w:val="0"/>
          <w:color w:val="000000"/>
        </w:rPr>
        <w:t>机</w:t>
      </w:r>
      <w:r>
        <w:rPr>
          <w:rStyle w:val="26"/>
          <w:rFonts w:hint="eastAsia" w:ascii="黑体" w:hAnsi="黑体" w:eastAsia="黑体"/>
          <w:b w:val="0"/>
          <w:bCs w:val="0"/>
        </w:rPr>
        <w:t>构设置</w:t>
      </w:r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8" w:lineRule="exact"/>
        <w:ind w:firstLine="620" w:firstLineChars="200"/>
        <w:textAlignment w:val="auto"/>
      </w:pPr>
      <w:r>
        <w:rPr>
          <w:rFonts w:hint="eastAsia" w:ascii="仿宋_GB2312" w:eastAsia="仿宋_GB2312"/>
          <w:sz w:val="31"/>
        </w:rPr>
        <w:t>纳入开江县甘棠镇卫生院201</w:t>
      </w:r>
      <w:r>
        <w:rPr>
          <w:rFonts w:ascii="仿宋_GB2312" w:eastAsia="仿宋_GB2312"/>
          <w:sz w:val="31"/>
        </w:rPr>
        <w:t>8</w:t>
      </w:r>
      <w:r>
        <w:rPr>
          <w:rFonts w:hint="eastAsia" w:ascii="仿宋_GB2312" w:eastAsia="仿宋_GB2312"/>
          <w:sz w:val="31"/>
        </w:rPr>
        <w:t>年部门决算编报的单位共1个，其中行政单位</w:t>
      </w:r>
      <w:r>
        <w:rPr>
          <w:rFonts w:ascii="仿宋_GB2312" w:eastAsia="仿宋_GB2312"/>
          <w:sz w:val="31"/>
        </w:rPr>
        <w:t>0</w:t>
      </w:r>
      <w:r>
        <w:rPr>
          <w:rFonts w:hint="eastAsia" w:ascii="仿宋_GB2312" w:eastAsia="仿宋_GB2312"/>
          <w:sz w:val="31"/>
        </w:rPr>
        <w:t>个，参照公务员法管理的事业单位</w:t>
      </w:r>
      <w:r>
        <w:rPr>
          <w:rFonts w:ascii="仿宋_GB2312" w:eastAsia="仿宋_GB2312"/>
          <w:sz w:val="31"/>
        </w:rPr>
        <w:t>0</w:t>
      </w:r>
      <w:r>
        <w:rPr>
          <w:rFonts w:hint="eastAsia" w:ascii="仿宋_GB2312" w:eastAsia="仿宋_GB2312"/>
          <w:sz w:val="31"/>
        </w:rPr>
        <w:t>个，事业单位</w:t>
      </w:r>
      <w:r>
        <w:rPr>
          <w:rFonts w:ascii="仿宋_GB2312" w:eastAsia="仿宋_GB2312"/>
          <w:sz w:val="31"/>
        </w:rPr>
        <w:t>1</w:t>
      </w:r>
      <w:r>
        <w:rPr>
          <w:rFonts w:hint="eastAsia" w:ascii="仿宋_GB2312" w:eastAsia="仿宋_GB2312"/>
          <w:sz w:val="31"/>
        </w:rPr>
        <w:t>个。</w:t>
      </w:r>
    </w:p>
    <w:p>
      <w:pPr>
        <w:pStyle w:val="2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5" w:name="_Toc15377205"/>
      <w:bookmarkStart w:id="6" w:name="_Toc15396603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</w:rPr>
        <w:t>收</w:t>
      </w:r>
      <w:r>
        <w:rPr>
          <w:rStyle w:val="26"/>
          <w:rFonts w:hint="eastAsia" w:ascii="黑体" w:hAnsi="黑体" w:eastAsia="黑体"/>
          <w:b w:val="0"/>
        </w:rPr>
        <w:t>入支出决算总体情况说明</w:t>
      </w:r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2018年度收入总计1516.04万元、支出总计1516.04万元。与2017年相比，收入总计增加118.09万元、支出总计增加118.09万元，增长8.45%。主要变动原因是财政拨款及医疗业务收入的增加。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274310" cy="2885440"/>
            <wp:effectExtent l="0" t="0" r="2540" b="10160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pStyle w:val="2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7" w:name="_Toc15377206"/>
      <w:bookmarkStart w:id="8" w:name="_Toc15396604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/>
          <w:color w:val="000000"/>
          <w:sz w:val="32"/>
          <w:szCs w:val="32"/>
        </w:rPr>
        <w:t>收</w:t>
      </w:r>
      <w:r>
        <w:rPr>
          <w:rStyle w:val="26"/>
          <w:rFonts w:hint="eastAsia" w:ascii="黑体" w:hAnsi="黑体" w:eastAsia="黑体"/>
          <w:b w:val="0"/>
        </w:rPr>
        <w:t>入决算情况说明</w:t>
      </w:r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本年收入合计1516.04万元，其中：一般公共预算财政拨款收入395.61万元，占26.09%；政府性基金预算财政拨款收入0万元，占0%；国有资本经营预算财政拨款收入0万元，占0%；事业收入1120.43万元，占73.91%；经营收入0万元，占0%；附属单位上缴收入0万元，占0%；其他收入0万元，占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200"/>
        <w:textAlignment w:val="auto"/>
        <w:outlineLvl w:val="1"/>
        <w:rPr>
          <w:rFonts w:ascii="仿宋" w:hAnsi="仿宋" w:eastAsia="仿宋"/>
          <w:color w:val="000000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364490</wp:posOffset>
            </wp:positionH>
            <wp:positionV relativeFrom="paragraph">
              <wp:posOffset>133350</wp:posOffset>
            </wp:positionV>
            <wp:extent cx="4610100" cy="3457575"/>
            <wp:effectExtent l="0" t="0" r="0" b="9525"/>
            <wp:wrapSquare wrapText="bothSides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9" w:name="_Toc15396605"/>
      <w:bookmarkStart w:id="10" w:name="_Toc15377207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      </w:t>
      </w:r>
    </w:p>
    <w:p>
      <w:pPr>
        <w:pStyle w:val="2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Style w:val="26"/>
          <w:rFonts w:ascii="黑体" w:hAnsi="黑体" w:eastAsia="黑体"/>
          <w:b w:val="0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/>
          <w:color w:val="000000"/>
          <w:sz w:val="32"/>
          <w:szCs w:val="32"/>
        </w:rPr>
        <w:t>支</w:t>
      </w:r>
      <w:r>
        <w:rPr>
          <w:rStyle w:val="26"/>
          <w:rFonts w:hint="eastAsia" w:ascii="黑体" w:hAnsi="黑体" w:eastAsia="黑体"/>
          <w:b w:val="0"/>
        </w:rPr>
        <w:t>出决算情况说明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2018年本年支出合计1516.04万元，其中：基本支出1314.26万元，占86.69%；项目支出201.78万元，占13.31%；上缴上级支出0万元，占0%；经营支出0万元，占0%；对附属单位补助支出0万元，占0%。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32385</wp:posOffset>
            </wp:positionV>
            <wp:extent cx="4181475" cy="2533650"/>
            <wp:effectExtent l="0" t="0" r="9525" b="0"/>
            <wp:wrapSquare wrapText="bothSides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/>
          <w:sz w:val="32"/>
          <w:szCs w:val="32"/>
          <w:shd w:val="pct10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11" w:name="_Toc15396606"/>
      <w:bookmarkStart w:id="12" w:name="_Toc15377208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（三）</w:t>
      </w:r>
      <w:r>
        <w:rPr>
          <w:rFonts w:hint="eastAsia" w:ascii="黑体" w:hAnsi="黑体" w:eastAsia="黑体"/>
          <w:color w:val="000000"/>
          <w:sz w:val="32"/>
          <w:szCs w:val="32"/>
        </w:rPr>
        <w:t>财</w:t>
      </w:r>
      <w:r>
        <w:rPr>
          <w:rStyle w:val="26"/>
          <w:rFonts w:hint="eastAsia" w:ascii="黑体" w:hAnsi="黑体" w:eastAsia="黑体"/>
          <w:b w:val="0"/>
        </w:rPr>
        <w:t>政拨款收入支出决算总体情况说明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2018年财政拨款收入总计395.61万元、支出总计395.61万元。与2017年相比，财政拨款收入总计增加76.9万元、收入总计增加76.9万元，增长24.13%。主要变动原因是对基本公共卫生服务项目拨款的增加。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color w:val="00B05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466725</wp:posOffset>
            </wp:positionV>
            <wp:extent cx="5274310" cy="2885440"/>
            <wp:effectExtent l="0" t="0" r="2540" b="10160"/>
            <wp:wrapSquare wrapText="bothSides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/>
          <w:b/>
          <w:color w:val="00B05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13" w:name="_Toc15377209"/>
      <w:bookmarkStart w:id="14" w:name="_Toc15396607"/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、一般公共预算财政拨款支出决算情况说明</w:t>
      </w:r>
      <w:bookmarkEnd w:id="13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15" w:name="_Toc15377210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（一）一般公共预算财政拨款支出决算总体情况</w:t>
      </w:r>
      <w:bookmarkEnd w:id="1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2018年一般公共预算财政拨款支出395.61万元，占本年支出合计的26.09%。与2017年相比，一般公共预算财政拨款增加76.9万元，增长24.13%。主要变动原因是对基本公共卫生服务项目拨款的增加。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5274310" cy="2885440"/>
            <wp:effectExtent l="0" t="0" r="2540" b="10160"/>
            <wp:wrapSquare wrapText="bothSides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16" w:name="_Toc15377211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（二）一般公共预算财政拨款支出决算结构情况</w:t>
      </w:r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2018年一般公共预算财政拨款支出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395.61万元，主要用于以下方面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一般公共服务（类）支出0万元，占0%；教育支出（类）0万元，占0%；科学技术（类）支出0万元，占0%；社会保障和就业（类）支出0万元，占0%；医疗卫生支出395.61万元，占100%；住房保障支出0万元，占0%。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9525</wp:posOffset>
            </wp:positionV>
            <wp:extent cx="4714875" cy="3095625"/>
            <wp:effectExtent l="0" t="0" r="9525" b="9525"/>
            <wp:wrapNone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17" w:name="_Toc15377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（三）一般公共预算财政拨款支出决算具体情况</w:t>
      </w:r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18" w:name="_Toc15377444"/>
      <w:bookmarkStart w:id="19" w:name="_Toc15377213"/>
      <w:bookmarkStart w:id="20" w:name="_Toc1537846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2018年般公共预算支出决算数为395.61，完成预算100%。其中：</w:t>
      </w:r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 社会保障和就业（类）行政事业单位离退休（款）机关事业单位基本养老保险缴费（项）: 支出决算为8万元，完成预算100%。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2.医疗卫生与计划生育（类）基层医疗卫生机构（款）乡镇卫生院（项）: 支出决算为80.99万元，完成预算100%。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3.医疗卫生与计划生育（类）基层医疗卫生机构（款）其他基层医疗卫生机构支出（项）: 支出决算为100.83万元，完成预算100%。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 医疗卫生与计划生育（类）公共卫生（款）基本公共卫生服务（项）: 支出决算为199.78万元，完成预算100%。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21" w:name="_Toc15396608"/>
      <w:bookmarkStart w:id="22" w:name="_Toc1537721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 医疗卫生与计划生育（类）中医药（款）中医（民族医）药（项）: 支出决算为2万元，完成预算100%。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 医疗卫生与计划生育（类）行政事业单位医疗（款）事业单位医疗（项）: 支出决算为2万元，完成预算100%。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 住房保障（类）住房改革（款）住房公积金（项）: 支出决算为2.01万元，完成预算100%。</w:t>
      </w:r>
    </w:p>
    <w:p>
      <w:pPr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1"/>
        <w:rPr>
          <w:rStyle w:val="26"/>
        </w:rPr>
      </w:pP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五</w:t>
      </w:r>
      <w:r>
        <w:rPr>
          <w:rFonts w:hint="eastAsia" w:ascii="黑体" w:eastAsia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一</w:t>
      </w:r>
      <w:r>
        <w:rPr>
          <w:rStyle w:val="26"/>
          <w:rFonts w:hint="eastAsia" w:ascii="黑体" w:hAnsi="黑体" w:eastAsia="黑体"/>
          <w:b w:val="0"/>
        </w:rPr>
        <w:t>般公共预算财政拨款基本支出决算情况说明</w:t>
      </w:r>
      <w:bookmarkEnd w:id="21"/>
      <w:bookmarkEnd w:id="22"/>
      <w:r>
        <w:rPr>
          <w:rStyle w:val="26"/>
          <w:rFonts w:ascii="黑体" w:hAnsi="黑体" w:eastAsia="黑体"/>
          <w:b w:val="0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2018年一般公共预算财政拨款基本支出193.83万元，其中：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人员经费193.83万元，主要包括：基本工资、津贴补贴、奖金、绩效工资、机关事业单位基本养老保险缴费、职业年金缴费、其他社会保障缴费、住房公积金等。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23" w:name="_Toc15396609"/>
      <w:bookmarkStart w:id="24" w:name="_Toc15377215"/>
      <w:r>
        <w:rPr>
          <w:rStyle w:val="26"/>
          <w:rFonts w:hint="eastAsia" w:ascii="黑体" w:hAnsi="黑体" w:eastAsia="黑体"/>
          <w:lang w:eastAsia="zh-CN"/>
        </w:rPr>
        <w:t>六、</w:t>
      </w:r>
      <w:r>
        <w:rPr>
          <w:rStyle w:val="26"/>
          <w:rFonts w:hint="eastAsia" w:ascii="黑体" w:hAnsi="黑体" w:eastAsia="黑体"/>
        </w:rPr>
        <w:t>“</w:t>
      </w:r>
      <w:r>
        <w:rPr>
          <w:rStyle w:val="26"/>
          <w:rFonts w:hint="eastAsia" w:ascii="黑体" w:hAnsi="黑体" w:eastAsia="黑体"/>
          <w:b w:val="0"/>
        </w:rPr>
        <w:t>三公”经费财政拨款支出决算情况说明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25" w:name="_Toc1537721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（一）“三公”经费财政拨款支出决算总体情况说明</w:t>
      </w:r>
      <w:bookmarkEnd w:id="2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2018年“三公”经费财政拨款支出决算为0万元，完成预算0%。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26" w:name="_Toc1537721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（二）“三公”经费财政拨款支出决算具体情况说明</w:t>
      </w:r>
      <w:bookmarkEnd w:id="2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2018年“三公”经费财政拨款支出决算中，因公出国（境）费支出决算0万元，占0%；公务用车购置及运行维护费支出决算0万元，占0%；公务接待费支出决算0万元，占0%。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1"/>
        <w:rPr>
          <w:rStyle w:val="26"/>
          <w:rFonts w:ascii="黑体" w:hAnsi="黑体" w:eastAsia="黑体"/>
        </w:rPr>
      </w:pPr>
      <w:bookmarkStart w:id="27" w:name="_Toc15377218"/>
      <w:bookmarkStart w:id="28" w:name="_Toc15396610"/>
      <w:r>
        <w:rPr>
          <w:rFonts w:hint="eastAsia" w:ascii="黑体" w:eastAsia="黑体"/>
          <w:color w:val="000000"/>
          <w:sz w:val="32"/>
          <w:szCs w:val="32"/>
          <w:lang w:eastAsia="zh-CN"/>
        </w:rPr>
        <w:t>七</w:t>
      </w:r>
      <w:r>
        <w:rPr>
          <w:rFonts w:hint="eastAsia" w:ascii="黑体" w:eastAsia="黑体"/>
          <w:color w:val="000000"/>
          <w:sz w:val="32"/>
          <w:szCs w:val="32"/>
        </w:rPr>
        <w:t>、</w:t>
      </w:r>
      <w:r>
        <w:rPr>
          <w:rStyle w:val="26"/>
          <w:rFonts w:hint="eastAsia" w:ascii="黑体" w:hAnsi="黑体" w:eastAsia="黑体"/>
          <w:b w:val="0"/>
        </w:rPr>
        <w:t>政府性基金预算支出决算情况说明</w:t>
      </w:r>
      <w:bookmarkEnd w:id="27"/>
      <w:bookmarkEnd w:id="2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8年政府性基金预算拨款支出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29" w:name="_Toc15377219"/>
      <w:bookmarkStart w:id="30" w:name="_Toc15396611"/>
      <w:r>
        <w:rPr>
          <w:rStyle w:val="26"/>
          <w:rFonts w:hint="eastAsia" w:ascii="黑体" w:hAnsi="黑体" w:eastAsia="黑体"/>
          <w:b w:val="0"/>
          <w:lang w:eastAsia="zh-CN"/>
        </w:rPr>
        <w:t>八、</w:t>
      </w:r>
      <w:r>
        <w:rPr>
          <w:rStyle w:val="26"/>
          <w:rFonts w:hint="eastAsia" w:ascii="黑体" w:hAnsi="黑体" w:eastAsia="黑体"/>
          <w:b w:val="0"/>
        </w:rPr>
        <w:t>国有资本经营预算支出决算情况说明</w:t>
      </w:r>
      <w:bookmarkEnd w:id="29"/>
      <w:bookmarkEnd w:id="3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8年国有资本经营预算拨款支出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19E6"/>
    <w:rsid w:val="000C3467"/>
    <w:rsid w:val="000C3CA6"/>
    <w:rsid w:val="000D1267"/>
    <w:rsid w:val="000D1D50"/>
    <w:rsid w:val="000D5782"/>
    <w:rsid w:val="000E6613"/>
    <w:rsid w:val="000E7119"/>
    <w:rsid w:val="000F0FE3"/>
    <w:rsid w:val="00114E9B"/>
    <w:rsid w:val="0014729F"/>
    <w:rsid w:val="00157BAB"/>
    <w:rsid w:val="001654D1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213FA"/>
    <w:rsid w:val="00235629"/>
    <w:rsid w:val="00252051"/>
    <w:rsid w:val="00260C38"/>
    <w:rsid w:val="002616C0"/>
    <w:rsid w:val="002662AA"/>
    <w:rsid w:val="00280496"/>
    <w:rsid w:val="00292D6D"/>
    <w:rsid w:val="00295495"/>
    <w:rsid w:val="002B2613"/>
    <w:rsid w:val="002F1818"/>
    <w:rsid w:val="002F567B"/>
    <w:rsid w:val="00307C44"/>
    <w:rsid w:val="003216A9"/>
    <w:rsid w:val="00344315"/>
    <w:rsid w:val="0037013F"/>
    <w:rsid w:val="00380C92"/>
    <w:rsid w:val="00382735"/>
    <w:rsid w:val="003A484F"/>
    <w:rsid w:val="003B0BE0"/>
    <w:rsid w:val="003B0C1B"/>
    <w:rsid w:val="003B222F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26B55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D1C1F"/>
    <w:rsid w:val="004E0A2D"/>
    <w:rsid w:val="004E206B"/>
    <w:rsid w:val="004E6DF7"/>
    <w:rsid w:val="004F0FBD"/>
    <w:rsid w:val="00505A47"/>
    <w:rsid w:val="00512FDA"/>
    <w:rsid w:val="00520DA0"/>
    <w:rsid w:val="00524442"/>
    <w:rsid w:val="005664BB"/>
    <w:rsid w:val="0057481D"/>
    <w:rsid w:val="00580D27"/>
    <w:rsid w:val="0058486E"/>
    <w:rsid w:val="005B1CC7"/>
    <w:rsid w:val="005D1C8B"/>
    <w:rsid w:val="005D5CED"/>
    <w:rsid w:val="005F1A4C"/>
    <w:rsid w:val="00605688"/>
    <w:rsid w:val="006070AF"/>
    <w:rsid w:val="00607E6C"/>
    <w:rsid w:val="006101B1"/>
    <w:rsid w:val="00614E44"/>
    <w:rsid w:val="00622830"/>
    <w:rsid w:val="00630AEF"/>
    <w:rsid w:val="006325F8"/>
    <w:rsid w:val="00634C9A"/>
    <w:rsid w:val="006440E4"/>
    <w:rsid w:val="0066343B"/>
    <w:rsid w:val="00664777"/>
    <w:rsid w:val="00671495"/>
    <w:rsid w:val="006748A4"/>
    <w:rsid w:val="00683E73"/>
    <w:rsid w:val="00687577"/>
    <w:rsid w:val="006A3141"/>
    <w:rsid w:val="006A5E34"/>
    <w:rsid w:val="006B2422"/>
    <w:rsid w:val="006B2B9A"/>
    <w:rsid w:val="006C1937"/>
    <w:rsid w:val="006F020C"/>
    <w:rsid w:val="00705910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13525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4248"/>
    <w:rsid w:val="008B768C"/>
    <w:rsid w:val="008C4DB1"/>
    <w:rsid w:val="008C4EAF"/>
    <w:rsid w:val="008C5176"/>
    <w:rsid w:val="008C7FD0"/>
    <w:rsid w:val="008D076C"/>
    <w:rsid w:val="008E1DE7"/>
    <w:rsid w:val="008E707C"/>
    <w:rsid w:val="00900B08"/>
    <w:rsid w:val="00902155"/>
    <w:rsid w:val="00902FA3"/>
    <w:rsid w:val="00910AFE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E98"/>
    <w:rsid w:val="009D3447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32BEF"/>
    <w:rsid w:val="00A40A00"/>
    <w:rsid w:val="00A4142F"/>
    <w:rsid w:val="00A56DF2"/>
    <w:rsid w:val="00A666FD"/>
    <w:rsid w:val="00A67AB5"/>
    <w:rsid w:val="00A91760"/>
    <w:rsid w:val="00A93B00"/>
    <w:rsid w:val="00A93C21"/>
    <w:rsid w:val="00AC3BBB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1B54"/>
    <w:rsid w:val="00B23F0D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E0B3D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70EDC"/>
    <w:rsid w:val="00C86628"/>
    <w:rsid w:val="00C91CBB"/>
    <w:rsid w:val="00CB37AF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1911"/>
    <w:rsid w:val="00D51276"/>
    <w:rsid w:val="00D7035F"/>
    <w:rsid w:val="00DA65AC"/>
    <w:rsid w:val="00DB1913"/>
    <w:rsid w:val="00DC410D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50624"/>
    <w:rsid w:val="00E511CE"/>
    <w:rsid w:val="00E568DF"/>
    <w:rsid w:val="00E64269"/>
    <w:rsid w:val="00E82267"/>
    <w:rsid w:val="00EA010F"/>
    <w:rsid w:val="00ED0E7D"/>
    <w:rsid w:val="00ED1B63"/>
    <w:rsid w:val="00ED3C1F"/>
    <w:rsid w:val="00ED4085"/>
    <w:rsid w:val="00ED420E"/>
    <w:rsid w:val="00EE2F57"/>
    <w:rsid w:val="00EE63EC"/>
    <w:rsid w:val="00EF4C34"/>
    <w:rsid w:val="00EF77C6"/>
    <w:rsid w:val="00F05438"/>
    <w:rsid w:val="00F1361C"/>
    <w:rsid w:val="00F160C7"/>
    <w:rsid w:val="00F329C2"/>
    <w:rsid w:val="00F36D8F"/>
    <w:rsid w:val="00F417B1"/>
    <w:rsid w:val="00F602DF"/>
    <w:rsid w:val="00F7529F"/>
    <w:rsid w:val="00F757B8"/>
    <w:rsid w:val="00F81FD9"/>
    <w:rsid w:val="00F841AA"/>
    <w:rsid w:val="00F96CA0"/>
    <w:rsid w:val="00FA23E8"/>
    <w:rsid w:val="00FD3CC1"/>
    <w:rsid w:val="00FD78D8"/>
    <w:rsid w:val="00FF1E02"/>
    <w:rsid w:val="00FF30B4"/>
    <w:rsid w:val="10C055FF"/>
    <w:rsid w:val="16BB723D"/>
    <w:rsid w:val="240371BF"/>
    <w:rsid w:val="26CC1B93"/>
    <w:rsid w:val="29FD04D3"/>
    <w:rsid w:val="2BEF5848"/>
    <w:rsid w:val="2C8B44DD"/>
    <w:rsid w:val="319F7F4E"/>
    <w:rsid w:val="33785336"/>
    <w:rsid w:val="67E2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kern w:val="0"/>
      <w:sz w:val="24"/>
    </w:rPr>
  </w:style>
  <w:style w:type="character" w:styleId="15">
    <w:name w:val="Strong"/>
    <w:basedOn w:val="14"/>
    <w:qFormat/>
    <w:uiPriority w:val="99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眉 字符"/>
    <w:link w:val="9"/>
    <w:semiHidden/>
    <w:qFormat/>
    <w:locked/>
    <w:uiPriority w:val="99"/>
    <w:rPr>
      <w:sz w:val="18"/>
    </w:rPr>
  </w:style>
  <w:style w:type="character" w:customStyle="1" w:styleId="19">
    <w:name w:val="Footer Char"/>
    <w:basedOn w:val="14"/>
    <w:semiHidden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字符"/>
    <w:link w:val="8"/>
    <w:qFormat/>
    <w:locked/>
    <w:uiPriority w:val="99"/>
    <w:rPr>
      <w:sz w:val="18"/>
    </w:rPr>
  </w:style>
  <w:style w:type="character" w:customStyle="1" w:styleId="21">
    <w:name w:val="Body Text Char"/>
    <w:basedOn w:val="14"/>
    <w:semiHidden/>
    <w:qFormat/>
    <w:uiPriority w:val="99"/>
    <w:rPr>
      <w:rFonts w:ascii="Times New Roman" w:hAnsi="Times New Roman"/>
      <w:szCs w:val="24"/>
    </w:rPr>
  </w:style>
  <w:style w:type="character" w:customStyle="1" w:styleId="22">
    <w:name w:val="正文文本 字符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字符"/>
    <w:basedOn w:val="14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6">
    <w:name w:val="标题 2 字符"/>
    <w:basedOn w:val="14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批注框文本 字符"/>
    <w:basedOn w:val="14"/>
    <w:link w:val="7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标题 3 字符"/>
    <w:basedOn w:val="14"/>
    <w:link w:val="4"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bg\&#29976;&#26848;&#21307;&#38498;&#25991;&#20214;\&#19978;&#25253;&#25968;&#25454;\&#36130;&#25919;&#23616;\2019&#24180;\2018&#24180;&#20915;&#31639;&#20844;&#24320;\&#29976;&#26848;\&#29976;&#26848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bg\&#29976;&#26848;&#21307;&#38498;&#25991;&#20214;\&#19978;&#25253;&#25968;&#25454;\&#36130;&#25919;&#23616;\2019&#24180;\2018&#24180;&#20915;&#31639;&#20844;&#24320;\&#29976;&#26848;\&#29976;&#26848;&#2227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bg\&#29976;&#26848;&#21307;&#38498;&#25991;&#20214;\&#19978;&#25253;&#25968;&#25454;\&#36130;&#25919;&#23616;\2019&#24180;\2018&#24180;&#20915;&#31639;&#20844;&#24320;\&#29976;&#26848;\&#29976;&#26848;&#2227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bg\&#29976;&#26848;&#21307;&#38498;&#25991;&#20214;\&#19978;&#25253;&#25968;&#25454;\&#36130;&#25919;&#23616;\2019&#24180;\2018&#24180;&#20915;&#31639;&#20844;&#24320;\&#29976;&#26848;\&#29976;&#26848;&#2227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bg\&#29976;&#26848;&#21307;&#38498;&#25991;&#20214;\&#19978;&#25253;&#25968;&#25454;\&#36130;&#25919;&#23616;\2019&#24180;\2018&#24180;&#20915;&#31639;&#20844;&#24320;\&#29976;&#26848;\&#29976;&#26848;&#2227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bg\&#29976;&#26848;&#21307;&#38498;&#25991;&#20214;\&#19978;&#25253;&#25968;&#25454;\&#36130;&#25919;&#23616;\2018&#24180;\2017&#24180;&#20915;&#31639;&#20844;&#24320;\&#29976;&#26848;&#21355;&#29983;&#38498;2017&#24180;&#20915;&#31639;&#20844;&#24320;\&#31532;&#20108;&#27425;&#23436;&#21892;\&#29976;&#26848;\&#29976;&#2684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'Sheet1 (3)'!$A$15</c:f>
              <c:strCache>
                <c:ptCount val="1"/>
                <c:pt idx="0">
                  <c:v>收、支决算总计变动情况图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(3)'!$A$1:$F$2</c:f>
              <c:strCache>
                <c:ptCount val="6"/>
                <c:pt idx="0">
                  <c:v>2017年收入</c:v>
                </c:pt>
                <c:pt idx="1">
                  <c:v>2018年收入</c:v>
                </c:pt>
                <c:pt idx="2">
                  <c:v>增加</c:v>
                </c:pt>
                <c:pt idx="3">
                  <c:v>2017年支出</c:v>
                </c:pt>
                <c:pt idx="4">
                  <c:v>2018年支出</c:v>
                </c:pt>
                <c:pt idx="5">
                  <c:v>增加</c:v>
                </c:pt>
              </c:strCache>
            </c:strRef>
          </c:cat>
          <c:val>
            <c:numRef>
              <c:f>'Sheet1 (3)'!$A$3:$F$3</c:f>
              <c:numCache>
                <c:formatCode>0.00_ "万""元"</c:formatCode>
                <c:ptCount val="6"/>
                <c:pt idx="0">
                  <c:v>1397.95</c:v>
                </c:pt>
                <c:pt idx="1">
                  <c:v>1516.04</c:v>
                </c:pt>
                <c:pt idx="2">
                  <c:v>118.09</c:v>
                </c:pt>
                <c:pt idx="3">
                  <c:v>1397.95</c:v>
                </c:pt>
                <c:pt idx="4">
                  <c:v>1516.04</c:v>
                </c:pt>
                <c:pt idx="5">
                  <c:v>118.09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30288672"/>
        <c:axId val="830289000"/>
      </c:barChart>
      <c:catAx>
        <c:axId val="83028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0289000"/>
        <c:crosses val="autoZero"/>
        <c:auto val="1"/>
        <c:lblAlgn val="ctr"/>
        <c:lblOffset val="100"/>
        <c:noMultiLvlLbl val="0"/>
      </c:catAx>
      <c:valAx>
        <c:axId val="830289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&quot;万&quot;&quot;元&quot;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028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600" b="1" i="0" u="none" strike="noStrike" kern="1200" baseline="0">
              <a:solidFill>
                <a:schemeClr val="tx2"/>
              </a:solidFill>
              <a:latin typeface="微软雅黑" panose="020B0503020204020204" charset="-122"/>
              <a:ea typeface="微软雅黑" panose="020B0503020204020204" charset="-122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805555555555556"/>
          <c:y val="0.13637955217274"/>
          <c:w val="0.728092957130359"/>
          <c:h val="0.797956963704409"/>
        </c:manualLayout>
      </c:layout>
      <c:pie3DChart>
        <c:varyColors val="1"/>
        <c:ser>
          <c:idx val="0"/>
          <c:order val="0"/>
          <c:tx>
            <c:strRef>
              <c:f>Sheet1!$A$1</c:f>
              <c:strCache>
                <c:ptCount val="1"/>
                <c:pt idx="0">
                  <c:v>收入决算结构图</c:v>
                </c:pt>
              </c:strCache>
            </c:strRef>
          </c:tx>
          <c:spPr/>
          <c:explosion val="32"/>
          <c:dPt>
            <c:idx val="0"/>
            <c:bubble3D val="0"/>
            <c:explosion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0.0492637903733108"/>
                  <c:y val="0.076821760916249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589423222924"/>
                      <c:h val="0.140881687309747"/>
                    </c:manualLayout>
                  </c15:layout>
                </c:ext>
              </c:extLst>
            </c:dLbl>
            <c:dLbl>
              <c:idx val="1"/>
              <c:layout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Sheet1!$A$2:$B$2</c:f>
              <c:strCache>
                <c:ptCount val="2"/>
                <c:pt idx="0">
                  <c:v>财政拨款收入</c:v>
                </c:pt>
                <c:pt idx="1">
                  <c:v>事业收入</c:v>
                </c:pt>
              </c:strCache>
            </c:strRef>
          </c:cat>
          <c:val>
            <c:numRef>
              <c:f>Sheet1!$A$3:$B$3</c:f>
              <c:numCache>
                <c:formatCode>0.00_ "万""元"</c:formatCode>
                <c:ptCount val="2"/>
                <c:pt idx="0">
                  <c:v>395.61</c:v>
                </c:pt>
                <c:pt idx="1">
                  <c:v>1120.43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1421878050368"/>
          <c:y val="0.871900392616212"/>
          <c:w val="0.440021040758335"/>
          <c:h val="0.1060610398906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0326499620349"/>
          <c:y val="0.0368421052631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805555555555556"/>
          <c:y val="0.13637955217274"/>
          <c:w val="0.728092957130359"/>
          <c:h val="0.797956963704409"/>
        </c:manualLayout>
      </c:layout>
      <c:pie3DChart>
        <c:varyColors val="1"/>
        <c:ser>
          <c:idx val="0"/>
          <c:order val="0"/>
          <c:tx>
            <c:strRef>
              <c:f>'Sheet1 (2)'!$A$1</c:f>
              <c:strCache>
                <c:ptCount val="1"/>
                <c:pt idx="0">
                  <c:v>支出决算结构图</c:v>
                </c:pt>
              </c:strCache>
            </c:strRef>
          </c:tx>
          <c:spPr/>
          <c:explosion val="32"/>
          <c:dPt>
            <c:idx val="0"/>
            <c:bubble3D val="0"/>
            <c:explosion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0.248989889931185"/>
                  <c:y val="-0.28161979752530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chemeClr val="tx2"/>
                      </a:solidFill>
                      <a:latin typeface="微软雅黑" panose="020B0503020204020204" charset="-122"/>
                      <a:ea typeface="微软雅黑" panose="020B0503020204020204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3629460895976"/>
                      <c:h val="0.21606970181358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000832959661363514"/>
                  <c:y val="0.12242851222544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chemeClr val="tx2"/>
                      </a:solidFill>
                      <a:latin typeface="微软雅黑" panose="020B0503020204020204" charset="-122"/>
                      <a:ea typeface="微软雅黑" panose="020B0503020204020204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0316695950196"/>
                      <c:h val="0.17693296602387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2"/>
                    </a:solidFill>
                    <a:latin typeface="微软雅黑" panose="020B0503020204020204" charset="-122"/>
                    <a:ea typeface="微软雅黑" panose="020B0503020204020204" charset="-122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'Sheet1 (2)'!$A$2:$B$2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'Sheet1 (2)'!$A$3:$B$3</c:f>
              <c:numCache>
                <c:formatCode>0.00_ "万""元"</c:formatCode>
                <c:ptCount val="2"/>
                <c:pt idx="0">
                  <c:v>1314.26</c:v>
                </c:pt>
                <c:pt idx="1">
                  <c:v>201.78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2964577774886"/>
          <c:y val="0.78374612264376"/>
          <c:w val="0.602555476020043"/>
          <c:h val="0.106061039890675"/>
        </c:manualLayout>
      </c:layout>
      <c:overlay val="0"/>
      <c:spPr>
        <a:noFill/>
        <a:ln>
          <a:noFill/>
        </a:ln>
        <a:effectLst>
          <a:glow rad="228600">
            <a:schemeClr val="accent1">
              <a:alpha val="40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'Sheet1 (6)'!$A$15</c:f>
              <c:strCache>
                <c:ptCount val="1"/>
                <c:pt idx="0">
                  <c:v>财政拨款收、支决算总计变动情况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(6)'!$A$1:$F$2</c:f>
              <c:strCache>
                <c:ptCount val="6"/>
                <c:pt idx="0">
                  <c:v>2017年收入</c:v>
                </c:pt>
                <c:pt idx="1">
                  <c:v>2018年收入</c:v>
                </c:pt>
                <c:pt idx="2">
                  <c:v>增加</c:v>
                </c:pt>
                <c:pt idx="3">
                  <c:v>2017年支出</c:v>
                </c:pt>
                <c:pt idx="4">
                  <c:v>2018年支出</c:v>
                </c:pt>
                <c:pt idx="5">
                  <c:v>增加</c:v>
                </c:pt>
              </c:strCache>
            </c:strRef>
          </c:cat>
          <c:val>
            <c:numRef>
              <c:f>'Sheet1 (6)'!$A$3:$F$3</c:f>
              <c:numCache>
                <c:formatCode>0.00_ "万""元"</c:formatCode>
                <c:ptCount val="6"/>
                <c:pt idx="0">
                  <c:v>318.71</c:v>
                </c:pt>
                <c:pt idx="1">
                  <c:v>395.61</c:v>
                </c:pt>
                <c:pt idx="2">
                  <c:v>76.9</c:v>
                </c:pt>
                <c:pt idx="3">
                  <c:v>318.71</c:v>
                </c:pt>
                <c:pt idx="4">
                  <c:v>395.61</c:v>
                </c:pt>
                <c:pt idx="5">
                  <c:v>76.9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30288672"/>
        <c:axId val="830289000"/>
      </c:barChart>
      <c:catAx>
        <c:axId val="83028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0289000"/>
        <c:crosses val="autoZero"/>
        <c:auto val="1"/>
        <c:lblAlgn val="ctr"/>
        <c:lblOffset val="100"/>
        <c:noMultiLvlLbl val="0"/>
      </c:catAx>
      <c:valAx>
        <c:axId val="830289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&quot;万&quot;&quot;元&quot;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028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'Sheet1 (4)'!$A$15</c:f>
              <c:strCache>
                <c:ptCount val="1"/>
                <c:pt idx="0">
                  <c:v>一般公共预算财政拨款支出决算变动情况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0.044014084507042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240789790512882"/>
                  <c:y val="-0.048415492957746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(4)'!$A$1:$F$2</c:f>
              <c:strCache>
                <c:ptCount val="3"/>
                <c:pt idx="0">
                  <c:v>2017年支出</c:v>
                </c:pt>
                <c:pt idx="1">
                  <c:v>2018年支出</c:v>
                </c:pt>
                <c:pt idx="2">
                  <c:v>增长</c:v>
                </c:pt>
              </c:strCache>
            </c:strRef>
          </c:cat>
          <c:val>
            <c:numRef>
              <c:f>'Sheet1 (4)'!$A$3:$C$3</c:f>
              <c:numCache>
                <c:formatCode>0.00_ "万""元"</c:formatCode>
                <c:ptCount val="3"/>
                <c:pt idx="0">
                  <c:v>318.71</c:v>
                </c:pt>
                <c:pt idx="1">
                  <c:v>395.61</c:v>
                </c:pt>
                <c:pt idx="2">
                  <c:v>76.9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30288672"/>
        <c:axId val="830289000"/>
      </c:barChart>
      <c:catAx>
        <c:axId val="83028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0289000"/>
        <c:crosses val="autoZero"/>
        <c:auto val="1"/>
        <c:lblAlgn val="ctr"/>
        <c:lblOffset val="100"/>
        <c:noMultiLvlLbl val="0"/>
      </c:catAx>
      <c:valAx>
        <c:axId val="830289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&quot;万&quot;&quot;元&quot;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028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805555555555556"/>
          <c:y val="0.13637955217274"/>
          <c:w val="0.728092957130359"/>
          <c:h val="0.797956963704409"/>
        </c:manualLayout>
      </c:layout>
      <c:pie3DChart>
        <c:varyColors val="1"/>
        <c:ser>
          <c:idx val="0"/>
          <c:order val="0"/>
          <c:tx>
            <c:strRef>
              <c:f>'Sheet1 (5)'!$A$1</c:f>
              <c:strCache>
                <c:ptCount val="1"/>
                <c:pt idx="0">
                  <c:v>一般公共预算财政拨款支出决算结构</c:v>
                </c:pt>
              </c:strCache>
            </c:strRef>
          </c:tx>
          <c:spPr/>
          <c:explosion val="32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(5)'!$A$2</c:f>
              <c:strCache>
                <c:ptCount val="1"/>
                <c:pt idx="0">
                  <c:v>医疗卫生支出</c:v>
                </c:pt>
              </c:strCache>
            </c:strRef>
          </c:cat>
          <c:val>
            <c:numRef>
              <c:f>'Sheet1 (5)'!$A$3</c:f>
              <c:numCache>
                <c:formatCode>0.00_ "万""元"</c:formatCode>
                <c:ptCount val="1"/>
                <c:pt idx="0">
                  <c:v>318.71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36416-98BB-484E-BA49-9626BEFED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1</Pages>
  <Words>1428</Words>
  <Characters>8144</Characters>
  <Lines>67</Lines>
  <Paragraphs>19</Paragraphs>
  <TotalTime>11</TotalTime>
  <ScaleCrop>false</ScaleCrop>
  <LinksUpToDate>false</LinksUpToDate>
  <CharactersWithSpaces>9553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2019-09-27T07:29:00Z</dcterms:created>
  <dc:creator>张彬茜</dc:creator>
  <cp:lastModifiedBy>不吃萝卜的兔子</cp:lastModifiedBy>
  <cp:lastPrinted>2019-08-01T00:48:00Z</cp:lastPrinted>
  <dcterms:modified xsi:type="dcterms:W3CDTF">2021-06-03T07:08:51Z</dcterms:modified>
  <dc:title>四川省***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5710FB22B87B4748B8EF002A9E04B5FB</vt:lpwstr>
  </property>
</Properties>
</file>