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bookmarkStart w:id="0" w:name="_Toc15306267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开江县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新太乡卫生院</w:t>
      </w:r>
    </w:p>
    <w:p>
      <w:pPr>
        <w:snapToGrid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2018年部门决算分析报告</w:t>
      </w:r>
      <w:bookmarkEnd w:id="0"/>
    </w:p>
    <w:p>
      <w:pPr>
        <w:snapToGrid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200"/>
        <w:textAlignment w:val="auto"/>
        <w:rPr>
          <w:rStyle w:val="26"/>
          <w:rFonts w:ascii="仿宋" w:hAnsi="仿宋" w:eastAsia="仿宋"/>
          <w:b w:val="0"/>
          <w:bCs w:val="0"/>
        </w:rPr>
      </w:pPr>
      <w:bookmarkStart w:id="1" w:name="_Toc15377197"/>
      <w:bookmarkStart w:id="2" w:name="_Toc15396600"/>
      <w:r>
        <w:rPr>
          <w:rFonts w:hint="eastAsia" w:ascii="黑体" w:hAnsi="黑体" w:eastAsia="黑体"/>
          <w:b w:val="0"/>
          <w:color w:val="000000"/>
        </w:rPr>
        <w:t>一、基</w:t>
      </w:r>
      <w:r>
        <w:rPr>
          <w:rStyle w:val="26"/>
          <w:rFonts w:hint="eastAsia" w:ascii="黑体" w:hAnsi="黑体" w:eastAsia="黑体"/>
          <w:b w:val="0"/>
          <w:bCs w:val="0"/>
        </w:rPr>
        <w:t>本职能及主要工作</w:t>
      </w:r>
      <w:bookmarkEnd w:id="1"/>
      <w:bookmarkEnd w:id="2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78" w:lineRule="exact"/>
        <w:ind w:firstLine="672" w:firstLineChars="210"/>
        <w:textAlignment w:val="auto"/>
        <w:outlineLvl w:val="2"/>
        <w:rPr>
          <w:rFonts w:ascii="仿宋" w:hAnsi="仿宋" w:eastAsia="仿宋"/>
          <w:bCs/>
          <w:color w:val="000000"/>
          <w:sz w:val="32"/>
          <w:szCs w:val="32"/>
        </w:rPr>
      </w:pPr>
      <w:bookmarkStart w:id="3" w:name="_Toc15377198"/>
      <w:bookmarkStart w:id="4" w:name="_Toc15378445"/>
      <w:r>
        <w:rPr>
          <w:rFonts w:hint="eastAsia" w:ascii="仿宋" w:hAnsi="仿宋" w:eastAsia="仿宋"/>
          <w:bCs/>
          <w:color w:val="000000"/>
          <w:sz w:val="32"/>
          <w:szCs w:val="32"/>
        </w:rPr>
        <w:t>（一）主要职能。</w:t>
      </w:r>
      <w:bookmarkEnd w:id="3"/>
      <w:bookmarkEnd w:id="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开江县新太乡卫生院担负着新太乡及周边地区1.5万余人口的身体健康提供医疗与预防保健服务、基本公共卫生服务、基本药物制度等项工作。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78" w:lineRule="exact"/>
        <w:ind w:firstLine="672" w:firstLineChars="210"/>
        <w:textAlignment w:val="auto"/>
        <w:outlineLvl w:val="2"/>
        <w:rPr>
          <w:rFonts w:ascii="仿宋" w:hAnsi="仿宋" w:eastAsia="仿宋"/>
          <w:bCs/>
          <w:color w:val="000000"/>
          <w:sz w:val="32"/>
          <w:szCs w:val="32"/>
        </w:rPr>
      </w:pPr>
      <w:bookmarkStart w:id="5" w:name="_Toc15377199"/>
      <w:bookmarkStart w:id="6" w:name="_Toc15378446"/>
      <w:r>
        <w:rPr>
          <w:rFonts w:hint="eastAsia" w:ascii="仿宋" w:hAnsi="仿宋" w:eastAsia="仿宋"/>
          <w:bCs/>
          <w:color w:val="000000"/>
          <w:sz w:val="32"/>
          <w:szCs w:val="32"/>
        </w:rPr>
        <w:t>（二）</w:t>
      </w:r>
      <w:r>
        <w:rPr>
          <w:rFonts w:ascii="仿宋" w:hAnsi="仿宋" w:eastAsia="仿宋"/>
          <w:bCs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8年重点工作完成情况。</w:t>
      </w:r>
      <w:bookmarkEnd w:id="5"/>
      <w:bookmarkEnd w:id="6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8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2018年，在县委、县政府、县卫健局的正确领导下，我单位牢牢把握发展大势，认真落实积极财政政策，狠抓增收节支，优化支出结构，深化管理改革，经受住了各方面严峻考验，为促进医疗事业发展提供了坚强保障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是全年医疗服务辖区群众1.6万余人。二是医疗服务1200余名贫困人口。三是为辖区1万余人提供了免费健康体检和慢性病管理和随访服务。四是为辖区群众2300余人提供了健康知识讲座和公众咨询活动。五是开展了二十余场次义诊和巡回医疗服务。六是为辖区群众提供了传染病防控和预防保健工作。七是开展 “温暖基层行”活动，走访、慰问贫困人口750余人。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200"/>
        <w:textAlignment w:val="auto"/>
        <w:rPr>
          <w:rStyle w:val="26"/>
          <w:b w:val="0"/>
          <w:bCs w:val="0"/>
        </w:rPr>
      </w:pPr>
      <w:bookmarkStart w:id="7" w:name="_Toc15377200"/>
      <w:bookmarkStart w:id="8" w:name="_Toc15396601"/>
      <w:r>
        <w:rPr>
          <w:rFonts w:hint="eastAsia" w:ascii="黑体" w:eastAsia="黑体"/>
          <w:b w:val="0"/>
          <w:color w:val="000000"/>
        </w:rPr>
        <w:t>二、</w:t>
      </w:r>
      <w:r>
        <w:rPr>
          <w:rFonts w:hint="eastAsia" w:ascii="黑体" w:hAnsi="黑体" w:eastAsia="黑体"/>
          <w:b w:val="0"/>
          <w:color w:val="000000"/>
        </w:rPr>
        <w:t>机</w:t>
      </w:r>
      <w:r>
        <w:rPr>
          <w:rStyle w:val="26"/>
          <w:rFonts w:hint="eastAsia" w:ascii="黑体" w:hAnsi="黑体" w:eastAsia="黑体"/>
          <w:b w:val="0"/>
          <w:bCs w:val="0"/>
        </w:rPr>
        <w:t>构设置</w:t>
      </w:r>
      <w:bookmarkEnd w:id="7"/>
      <w:bookmarkEnd w:id="8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20" w:firstLineChars="200"/>
        <w:textAlignment w:val="auto"/>
        <w:rPr>
          <w:rFonts w:ascii="仿宋_GB2312" w:eastAsia="仿宋_GB2312"/>
          <w:sz w:val="31"/>
        </w:rPr>
      </w:pPr>
      <w:r>
        <w:rPr>
          <w:rFonts w:hint="eastAsia" w:ascii="仿宋_GB2312" w:eastAsia="仿宋_GB2312"/>
          <w:sz w:val="31"/>
        </w:rPr>
        <w:t>纳入开江县新太乡卫生院201</w:t>
      </w:r>
      <w:r>
        <w:rPr>
          <w:rFonts w:ascii="仿宋_GB2312" w:eastAsia="仿宋_GB2312"/>
          <w:sz w:val="31"/>
        </w:rPr>
        <w:t>8</w:t>
      </w:r>
      <w:r>
        <w:rPr>
          <w:rFonts w:hint="eastAsia" w:ascii="仿宋_GB2312" w:eastAsia="仿宋_GB2312"/>
          <w:sz w:val="31"/>
        </w:rPr>
        <w:t>年部门决算编报的单位共1个，其中行政单位</w:t>
      </w:r>
      <w:r>
        <w:rPr>
          <w:rFonts w:ascii="仿宋_GB2312" w:eastAsia="仿宋_GB2312"/>
          <w:sz w:val="31"/>
        </w:rPr>
        <w:t>0</w:t>
      </w:r>
      <w:r>
        <w:rPr>
          <w:rFonts w:hint="eastAsia" w:ascii="仿宋_GB2312" w:eastAsia="仿宋_GB2312"/>
          <w:sz w:val="31"/>
        </w:rPr>
        <w:t>个，参照公务员法管理的事业单位</w:t>
      </w:r>
      <w:r>
        <w:rPr>
          <w:rFonts w:ascii="仿宋_GB2312" w:eastAsia="仿宋_GB2312"/>
          <w:sz w:val="31"/>
        </w:rPr>
        <w:t>0</w:t>
      </w:r>
      <w:r>
        <w:rPr>
          <w:rFonts w:hint="eastAsia" w:ascii="仿宋_GB2312" w:eastAsia="仿宋_GB2312"/>
          <w:sz w:val="31"/>
        </w:rPr>
        <w:t>个，事业单位</w:t>
      </w:r>
      <w:r>
        <w:rPr>
          <w:rFonts w:ascii="仿宋_GB2312" w:eastAsia="仿宋_GB2312"/>
          <w:sz w:val="31"/>
        </w:rPr>
        <w:t>1</w:t>
      </w:r>
      <w:r>
        <w:rPr>
          <w:rFonts w:hint="eastAsia" w:ascii="仿宋_GB2312" w:eastAsia="仿宋_GB2312"/>
          <w:sz w:val="31"/>
        </w:rPr>
        <w:t>个。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</w:pPr>
    </w:p>
    <w:p>
      <w:pPr>
        <w:pStyle w:val="24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640" w:leftChars="0"/>
        <w:textAlignment w:val="auto"/>
        <w:outlineLvl w:val="1"/>
        <w:rPr>
          <w:rStyle w:val="26"/>
          <w:rFonts w:ascii="黑体" w:hAnsi="黑体" w:eastAsia="黑体"/>
          <w:b w:val="0"/>
        </w:rPr>
      </w:pPr>
      <w:bookmarkStart w:id="9" w:name="_Toc15396603"/>
      <w:bookmarkStart w:id="10" w:name="_Toc15377205"/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color w:val="000000"/>
          <w:sz w:val="32"/>
          <w:szCs w:val="32"/>
        </w:rPr>
        <w:t>收</w:t>
      </w:r>
      <w:r>
        <w:rPr>
          <w:rStyle w:val="26"/>
          <w:rFonts w:hint="eastAsia" w:ascii="黑体" w:hAnsi="黑体" w:eastAsia="黑体"/>
          <w:b w:val="0"/>
        </w:rPr>
        <w:t>入支出决算总体情况说明</w:t>
      </w:r>
      <w:bookmarkEnd w:id="9"/>
      <w:bookmarkEnd w:id="10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2018年度收入总计257.71万元、支出总计257.71万元。与2017年相比，收入总计减少95.78万元、支出总计减少95.78万元，减少27.10%。主要变动原因是医疗业务收入的减少。</w:t>
      </w:r>
    </w:p>
    <w:p>
      <w:pPr>
        <w:pStyle w:val="24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640" w:leftChars="0"/>
        <w:textAlignment w:val="auto"/>
        <w:outlineLvl w:val="1"/>
        <w:rPr>
          <w:rStyle w:val="26"/>
          <w:rFonts w:ascii="黑体" w:hAnsi="黑体" w:eastAsia="黑体"/>
          <w:b w:val="0"/>
        </w:rPr>
      </w:pPr>
      <w:bookmarkStart w:id="11" w:name="_Toc15377206"/>
      <w:bookmarkStart w:id="12" w:name="_Toc15396604"/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四、</w:t>
      </w:r>
      <w:r>
        <w:rPr>
          <w:rFonts w:hint="eastAsia" w:ascii="黑体" w:hAnsi="黑体" w:eastAsia="黑体"/>
          <w:color w:val="000000"/>
          <w:sz w:val="32"/>
          <w:szCs w:val="32"/>
        </w:rPr>
        <w:t>收</w:t>
      </w:r>
      <w:r>
        <w:rPr>
          <w:rStyle w:val="26"/>
          <w:rFonts w:hint="eastAsia" w:ascii="黑体" w:hAnsi="黑体" w:eastAsia="黑体"/>
          <w:b w:val="0"/>
        </w:rPr>
        <w:t>入决算情况说明</w:t>
      </w:r>
      <w:bookmarkEnd w:id="11"/>
      <w:bookmarkEnd w:id="12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outlineLvl w:val="1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2018年本年收入合计257.71万元，其中：一般公共预算财政拨款收入111.86万元，占43.41%；政府性基金预算财政拨款收入0万元，占0%；国有资本经营预算财政拨款收入0万元，占0%；事业收入145.85万元，占56.59%；经营收入0万元，占0%；附属单位上缴收入0万元，占0%；其他收入0万元，占0%。</w:t>
      </w:r>
    </w:p>
    <w:p>
      <w:pPr>
        <w:pStyle w:val="2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1"/>
        <w:rPr>
          <w:rStyle w:val="26"/>
          <w:rFonts w:ascii="黑体" w:hAnsi="黑体" w:eastAsia="黑体"/>
          <w:b w:val="0"/>
        </w:rPr>
      </w:pPr>
      <w:bookmarkStart w:id="13" w:name="_Toc15396605"/>
      <w:bookmarkStart w:id="14" w:name="_Toc15377207"/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五、</w:t>
      </w:r>
      <w:r>
        <w:rPr>
          <w:rFonts w:hint="eastAsia" w:ascii="黑体" w:hAnsi="黑体" w:eastAsia="黑体"/>
          <w:color w:val="000000"/>
          <w:sz w:val="32"/>
          <w:szCs w:val="32"/>
        </w:rPr>
        <w:t>支</w:t>
      </w:r>
      <w:r>
        <w:rPr>
          <w:rStyle w:val="26"/>
          <w:rFonts w:hint="eastAsia" w:ascii="黑体" w:hAnsi="黑体" w:eastAsia="黑体"/>
          <w:b w:val="0"/>
        </w:rPr>
        <w:t>出决算情况说明</w:t>
      </w:r>
      <w:bookmarkEnd w:id="13"/>
      <w:bookmarkEnd w:id="14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2018年本年支出合计257.71万元，其中：基本支出204.88万元，占79.50%；项目支出52.83万元，占20.50%；上缴上级支出0万元，占0%；经营支出0万元，占0%；对附属单位补助支出0万元，占0%。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outlineLvl w:val="1"/>
        <w:rPr>
          <w:rStyle w:val="26"/>
          <w:rFonts w:ascii="黑体" w:hAnsi="黑体" w:eastAsia="黑体"/>
          <w:b w:val="0"/>
        </w:rPr>
      </w:pPr>
      <w:bookmarkStart w:id="15" w:name="_Toc15377208"/>
      <w:bookmarkStart w:id="16" w:name="_Toc15396606"/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六、</w:t>
      </w:r>
      <w:r>
        <w:rPr>
          <w:rFonts w:hint="eastAsia" w:ascii="黑体" w:hAnsi="黑体" w:eastAsia="黑体"/>
          <w:color w:val="000000"/>
          <w:sz w:val="32"/>
          <w:szCs w:val="32"/>
        </w:rPr>
        <w:t>财</w:t>
      </w:r>
      <w:r>
        <w:rPr>
          <w:rStyle w:val="26"/>
          <w:rFonts w:hint="eastAsia" w:ascii="黑体" w:hAnsi="黑体" w:eastAsia="黑体"/>
          <w:b w:val="0"/>
        </w:rPr>
        <w:t>政拨款收入支出决算总体情况说明</w:t>
      </w:r>
      <w:bookmarkEnd w:id="15"/>
      <w:bookmarkEnd w:id="16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2018年财政拨款收入总计111.86万元、支出总计111.86万元。与2017年相比，财政拨款收入总计减少0.65万元、收入总计减少0.65万元，减少0.58%。主要变动原因</w:t>
      </w:r>
      <w:bookmarkStart w:id="35" w:name="_GoBack"/>
      <w:bookmarkEnd w:id="35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是对基本公共卫生服务项目拨款的减少。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1"/>
        <w:rPr>
          <w:rStyle w:val="26"/>
          <w:rFonts w:ascii="黑体" w:hAnsi="黑体" w:eastAsia="黑体"/>
          <w:b w:val="0"/>
        </w:rPr>
      </w:pPr>
      <w:bookmarkStart w:id="17" w:name="_Toc15377209"/>
      <w:bookmarkStart w:id="18" w:name="_Toc15396607"/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b/>
          <w:color w:val="000000"/>
          <w:sz w:val="32"/>
          <w:szCs w:val="32"/>
        </w:rPr>
        <w:t>一</w:t>
      </w:r>
      <w:r>
        <w:rPr>
          <w:rStyle w:val="26"/>
          <w:rFonts w:hint="eastAsia" w:ascii="黑体" w:hAnsi="黑体" w:eastAsia="黑体"/>
          <w:b w:val="0"/>
        </w:rPr>
        <w:t>般公共预算财政拨款支出决算情况说明</w:t>
      </w:r>
      <w:bookmarkEnd w:id="17"/>
      <w:bookmarkEnd w:id="18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bookmarkStart w:id="19" w:name="_Toc15377210"/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（一）一般公共预算财政拨款支出决算总体情况</w:t>
      </w:r>
      <w:bookmarkEnd w:id="19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2018年一般公共预算财政拨款支出111.86万元，占本年支出合计的43.41%。与2017年相比，一般公共预算财政拨款减少0.65万元，减少0.58%。主要变动原因是对基本公共卫生服务项目拨款的减少。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bookmarkStart w:id="20" w:name="_Toc15377211"/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（二）一般公共预算财政拨款支出决算结构情况</w:t>
      </w:r>
      <w:bookmarkEnd w:id="20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2018年一般公共预算财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政拨款支出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111.86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万元，主要用于以下方面: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一般公共服务（类）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支出0万元，占0%；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教育支出（类）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0万元，占0%；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科学技术（类）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支出0万元，占0%；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社会保障和就业（类）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支出0万元，占0%；医疗卫生支出111.86万元，占100%；住房保障支出0万元，占0%。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bookmarkStart w:id="21" w:name="_Toc15377212"/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（三）一般公共预算财政拨款支出决算具体情况</w:t>
      </w:r>
      <w:bookmarkEnd w:id="21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2" w:name="_Toc15377213"/>
      <w:bookmarkStart w:id="23" w:name="_Toc15377444"/>
      <w:bookmarkStart w:id="24" w:name="_Toc1537846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2018年一般公共预算支出决算数为111.86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，完成预算100%。其中：</w:t>
      </w:r>
      <w:bookmarkEnd w:id="22"/>
      <w:bookmarkEnd w:id="23"/>
      <w:bookmarkEnd w:id="24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社会保障和就业（类）行政事业单位离退休（款）机关事业单位基本养老保险缴费（项）: 支出决算为6万元，完成预算100%。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2.医疗卫生与计划生育（类）基层医疗卫生机构（款）乡镇卫生院（项）: 支出决算为36.36万元，完成预算100%。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3.医疗卫生与计划生育（类）基层医疗卫生机构（款）其他基层医疗卫生机构支出（项）: 支出决算为14.67万元，完成预算100%。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 医疗卫生与计划生育（类）公共卫生（款）基本公共卫生服务（项）: 支出决算为52.83万元，完成预算100%。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5" w:name="_Toc15377214"/>
      <w:bookmarkStart w:id="26" w:name="_Toc15396608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 医疗卫生与计划生育（类）行政事业单位医疗（款）事业单位医疗（项）: 支出决算为1万元，完成预算100%。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 住房保障（类）住房改革（款）住房公积金（项）: 支出决算为1万元，完成预算100%。</w:t>
      </w:r>
    </w:p>
    <w:p>
      <w:pPr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1"/>
        <w:rPr>
          <w:rStyle w:val="26"/>
        </w:rPr>
      </w:pPr>
      <w:r>
        <w:rPr>
          <w:rFonts w:hint="eastAsia" w:ascii="黑体" w:eastAsia="黑体"/>
          <w:b/>
          <w:color w:val="000000"/>
          <w:sz w:val="32"/>
          <w:szCs w:val="32"/>
          <w:lang w:eastAsia="zh-CN"/>
        </w:rPr>
        <w:t>八</w:t>
      </w:r>
      <w:r>
        <w:rPr>
          <w:rFonts w:hint="eastAsia" w:ascii="黑体" w:eastAsia="黑体"/>
          <w:b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b/>
          <w:color w:val="000000"/>
          <w:sz w:val="32"/>
          <w:szCs w:val="32"/>
        </w:rPr>
        <w:t>一</w:t>
      </w:r>
      <w:r>
        <w:rPr>
          <w:rStyle w:val="26"/>
          <w:rFonts w:hint="eastAsia" w:ascii="黑体" w:hAnsi="黑体" w:eastAsia="黑体"/>
          <w:b w:val="0"/>
        </w:rPr>
        <w:t>般公共预算财政拨款基本支出决算情况说明</w:t>
      </w:r>
      <w:bookmarkEnd w:id="25"/>
      <w:bookmarkEnd w:id="26"/>
      <w:r>
        <w:rPr>
          <w:rStyle w:val="26"/>
          <w:rFonts w:ascii="黑体" w:hAnsi="黑体" w:eastAsia="黑体"/>
          <w:b w:val="0"/>
        </w:rPr>
        <w:tab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2018年一般公共预算财政拨款基本支出59.03万元，其中：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人员经费59.03万元，主要包括：基本工资、津贴补贴、奖金、绩效工资、机关事业单位基本养老保险缴费、职业年金缴费、其他社会保障缴费、住房公积金等。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1"/>
        <w:rPr>
          <w:rStyle w:val="26"/>
          <w:rFonts w:ascii="黑体" w:hAnsi="黑体" w:eastAsia="黑体"/>
          <w:b w:val="0"/>
        </w:rPr>
      </w:pPr>
      <w:bookmarkStart w:id="27" w:name="_Toc15377215"/>
      <w:bookmarkStart w:id="28" w:name="_Toc15396609"/>
      <w:r>
        <w:rPr>
          <w:rStyle w:val="26"/>
          <w:rFonts w:hint="eastAsia" w:ascii="黑体" w:hAnsi="黑体" w:eastAsia="黑体"/>
          <w:lang w:eastAsia="zh-CN"/>
        </w:rPr>
        <w:t>九、</w:t>
      </w:r>
      <w:r>
        <w:rPr>
          <w:rStyle w:val="26"/>
          <w:rFonts w:hint="eastAsia" w:ascii="黑体" w:hAnsi="黑体" w:eastAsia="黑体"/>
        </w:rPr>
        <w:t>“</w:t>
      </w:r>
      <w:r>
        <w:rPr>
          <w:rStyle w:val="26"/>
          <w:rFonts w:hint="eastAsia" w:ascii="黑体" w:hAnsi="黑体" w:eastAsia="黑体"/>
          <w:b w:val="0"/>
        </w:rPr>
        <w:t>三公”经费财政拨款支出决算情况说明</w:t>
      </w:r>
      <w:bookmarkEnd w:id="27"/>
      <w:bookmarkEnd w:id="28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2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bookmarkStart w:id="29" w:name="_Toc15377216"/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（一）“三公”经费财政拨款支出决算总体情况说明</w:t>
      </w:r>
      <w:bookmarkEnd w:id="29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2018年“三公”经费财政拨款支出决算为0万元，完成预算0%。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2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bookmarkStart w:id="30" w:name="_Toc15377217"/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（二）“三公”经费财政拨款支出决算具体情况说明</w:t>
      </w:r>
      <w:bookmarkEnd w:id="30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2018年“三公”经费财政拨款支出决算中，因公出国（境）费支出决算0万元，占0%；公务用车购置及运行维护费支出决算0万元，占0%；公务接待费支出决算0万元，占0%。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1"/>
        <w:rPr>
          <w:rStyle w:val="26"/>
          <w:rFonts w:ascii="黑体" w:hAnsi="黑体" w:eastAsia="黑体"/>
        </w:rPr>
      </w:pPr>
      <w:bookmarkStart w:id="31" w:name="_Toc15377218"/>
      <w:bookmarkStart w:id="32" w:name="_Toc15396610"/>
      <w:r>
        <w:rPr>
          <w:rFonts w:hint="eastAsia" w:ascii="黑体" w:eastAsia="黑体"/>
          <w:color w:val="000000"/>
          <w:sz w:val="32"/>
          <w:szCs w:val="32"/>
          <w:lang w:eastAsia="zh-CN"/>
        </w:rPr>
        <w:t>十</w:t>
      </w:r>
      <w:r>
        <w:rPr>
          <w:rFonts w:hint="eastAsia" w:ascii="黑体" w:eastAsia="黑体"/>
          <w:color w:val="000000"/>
          <w:sz w:val="32"/>
          <w:szCs w:val="32"/>
        </w:rPr>
        <w:t>、</w:t>
      </w:r>
      <w:r>
        <w:rPr>
          <w:rStyle w:val="26"/>
          <w:rFonts w:hint="eastAsia" w:ascii="黑体" w:hAnsi="黑体" w:eastAsia="黑体"/>
          <w:b w:val="0"/>
        </w:rPr>
        <w:t>政府性基金预算支出决算情况说明</w:t>
      </w:r>
      <w:bookmarkEnd w:id="31"/>
      <w:bookmarkEnd w:id="32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</w:rPr>
        <w:t>8年政府性基金预算拨款支出</w:t>
      </w:r>
      <w:r>
        <w:rPr>
          <w:rFonts w:ascii="仿宋_GB2312" w:eastAsia="仿宋_GB2312"/>
          <w:color w:val="000000"/>
          <w:sz w:val="32"/>
          <w:szCs w:val="32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1"/>
        <w:rPr>
          <w:rStyle w:val="26"/>
          <w:rFonts w:ascii="黑体" w:hAnsi="黑体" w:eastAsia="黑体"/>
          <w:b w:val="0"/>
        </w:rPr>
      </w:pPr>
      <w:bookmarkStart w:id="33" w:name="_Toc15377219"/>
      <w:bookmarkStart w:id="34" w:name="_Toc15396611"/>
      <w:r>
        <w:rPr>
          <w:rStyle w:val="26"/>
          <w:rFonts w:hint="eastAsia" w:ascii="黑体" w:hAnsi="黑体" w:eastAsia="黑体"/>
          <w:b w:val="0"/>
          <w:lang w:eastAsia="zh-CN"/>
        </w:rPr>
        <w:t>十一、</w:t>
      </w:r>
      <w:r>
        <w:rPr>
          <w:rStyle w:val="26"/>
          <w:rFonts w:hint="eastAsia" w:ascii="黑体" w:hAnsi="黑体" w:eastAsia="黑体"/>
          <w:b w:val="0"/>
        </w:rPr>
        <w:t>国有资本经营预算支出决算情况说明</w:t>
      </w:r>
      <w:bookmarkEnd w:id="33"/>
      <w:bookmarkEnd w:id="34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</w:rPr>
        <w:t>8年国有资本经营预算拨款支出</w:t>
      </w:r>
      <w:r>
        <w:rPr>
          <w:rFonts w:ascii="仿宋_GB2312" w:eastAsia="仿宋_GB2312"/>
          <w:color w:val="000000"/>
          <w:sz w:val="32"/>
          <w:szCs w:val="32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19E6"/>
    <w:rsid w:val="000C3467"/>
    <w:rsid w:val="000C3CA6"/>
    <w:rsid w:val="000D1267"/>
    <w:rsid w:val="000D1D50"/>
    <w:rsid w:val="000D5782"/>
    <w:rsid w:val="000E6613"/>
    <w:rsid w:val="000E7119"/>
    <w:rsid w:val="000F0FE3"/>
    <w:rsid w:val="00114E9B"/>
    <w:rsid w:val="0014729F"/>
    <w:rsid w:val="00157BAB"/>
    <w:rsid w:val="001654D1"/>
    <w:rsid w:val="0018106D"/>
    <w:rsid w:val="00186ECF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213FA"/>
    <w:rsid w:val="00235629"/>
    <w:rsid w:val="00252051"/>
    <w:rsid w:val="00260C38"/>
    <w:rsid w:val="002616C0"/>
    <w:rsid w:val="002662AA"/>
    <w:rsid w:val="00280496"/>
    <w:rsid w:val="00292D6D"/>
    <w:rsid w:val="00295495"/>
    <w:rsid w:val="002B2613"/>
    <w:rsid w:val="002F1818"/>
    <w:rsid w:val="002F567B"/>
    <w:rsid w:val="00307C44"/>
    <w:rsid w:val="003216A9"/>
    <w:rsid w:val="00344315"/>
    <w:rsid w:val="0037013F"/>
    <w:rsid w:val="00380C92"/>
    <w:rsid w:val="00382735"/>
    <w:rsid w:val="003A484F"/>
    <w:rsid w:val="003B0BE0"/>
    <w:rsid w:val="003B0C1B"/>
    <w:rsid w:val="003B222F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26B55"/>
    <w:rsid w:val="00434489"/>
    <w:rsid w:val="00437085"/>
    <w:rsid w:val="00443880"/>
    <w:rsid w:val="004464F4"/>
    <w:rsid w:val="00471401"/>
    <w:rsid w:val="00473F31"/>
    <w:rsid w:val="0048263A"/>
    <w:rsid w:val="00487E5D"/>
    <w:rsid w:val="004A711F"/>
    <w:rsid w:val="004B199D"/>
    <w:rsid w:val="004B4690"/>
    <w:rsid w:val="004D1C1F"/>
    <w:rsid w:val="004E0A2D"/>
    <w:rsid w:val="004E206B"/>
    <w:rsid w:val="004E6DF7"/>
    <w:rsid w:val="004F0FBD"/>
    <w:rsid w:val="00505A47"/>
    <w:rsid w:val="00512FDA"/>
    <w:rsid w:val="00520DA0"/>
    <w:rsid w:val="00524442"/>
    <w:rsid w:val="005664BB"/>
    <w:rsid w:val="0057481D"/>
    <w:rsid w:val="00580D27"/>
    <w:rsid w:val="0058486E"/>
    <w:rsid w:val="005B1CC7"/>
    <w:rsid w:val="005D1C8B"/>
    <w:rsid w:val="005D5CED"/>
    <w:rsid w:val="005F1A4C"/>
    <w:rsid w:val="00605688"/>
    <w:rsid w:val="006070AF"/>
    <w:rsid w:val="00607E6C"/>
    <w:rsid w:val="006101B1"/>
    <w:rsid w:val="00614E44"/>
    <w:rsid w:val="00622830"/>
    <w:rsid w:val="00630AEF"/>
    <w:rsid w:val="006325F8"/>
    <w:rsid w:val="00634C9A"/>
    <w:rsid w:val="006440E4"/>
    <w:rsid w:val="0066343B"/>
    <w:rsid w:val="00664777"/>
    <w:rsid w:val="00671495"/>
    <w:rsid w:val="006748A4"/>
    <w:rsid w:val="00683E73"/>
    <w:rsid w:val="00687577"/>
    <w:rsid w:val="006A3141"/>
    <w:rsid w:val="006A5E34"/>
    <w:rsid w:val="006B2422"/>
    <w:rsid w:val="006B2B9A"/>
    <w:rsid w:val="006C1937"/>
    <w:rsid w:val="006F020C"/>
    <w:rsid w:val="00705910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13525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A4248"/>
    <w:rsid w:val="008B768C"/>
    <w:rsid w:val="008C4DB1"/>
    <w:rsid w:val="008C4EAF"/>
    <w:rsid w:val="008C5176"/>
    <w:rsid w:val="008C7FD0"/>
    <w:rsid w:val="008D076C"/>
    <w:rsid w:val="008E1DE7"/>
    <w:rsid w:val="008E707C"/>
    <w:rsid w:val="00900B08"/>
    <w:rsid w:val="00902155"/>
    <w:rsid w:val="00902FA3"/>
    <w:rsid w:val="00910AFE"/>
    <w:rsid w:val="00923564"/>
    <w:rsid w:val="0092392E"/>
    <w:rsid w:val="009315F9"/>
    <w:rsid w:val="009427F7"/>
    <w:rsid w:val="00946945"/>
    <w:rsid w:val="00951248"/>
    <w:rsid w:val="0095152F"/>
    <w:rsid w:val="00954C49"/>
    <w:rsid w:val="0097099F"/>
    <w:rsid w:val="00971997"/>
    <w:rsid w:val="00971FFC"/>
    <w:rsid w:val="0098660A"/>
    <w:rsid w:val="009931C3"/>
    <w:rsid w:val="009B2C43"/>
    <w:rsid w:val="009B4EAE"/>
    <w:rsid w:val="009B7573"/>
    <w:rsid w:val="009C22F4"/>
    <w:rsid w:val="009C2E98"/>
    <w:rsid w:val="009D3447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32BEF"/>
    <w:rsid w:val="00A40A00"/>
    <w:rsid w:val="00A4142F"/>
    <w:rsid w:val="00A56DF2"/>
    <w:rsid w:val="00A666FD"/>
    <w:rsid w:val="00A67AB5"/>
    <w:rsid w:val="00A91760"/>
    <w:rsid w:val="00A93B00"/>
    <w:rsid w:val="00A93C21"/>
    <w:rsid w:val="00AC3BBB"/>
    <w:rsid w:val="00AC3C6A"/>
    <w:rsid w:val="00AD5620"/>
    <w:rsid w:val="00AD7C1B"/>
    <w:rsid w:val="00AE16BA"/>
    <w:rsid w:val="00AE1EBE"/>
    <w:rsid w:val="00AF7354"/>
    <w:rsid w:val="00B03C9D"/>
    <w:rsid w:val="00B060AE"/>
    <w:rsid w:val="00B10517"/>
    <w:rsid w:val="00B14E76"/>
    <w:rsid w:val="00B161B8"/>
    <w:rsid w:val="00B2048C"/>
    <w:rsid w:val="00B21B54"/>
    <w:rsid w:val="00B23F0D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E0B3D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5438"/>
    <w:rsid w:val="00C70EDC"/>
    <w:rsid w:val="00C86628"/>
    <w:rsid w:val="00C91CBB"/>
    <w:rsid w:val="00CB37AF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41911"/>
    <w:rsid w:val="00D51276"/>
    <w:rsid w:val="00D7035F"/>
    <w:rsid w:val="00DA65AC"/>
    <w:rsid w:val="00DB1913"/>
    <w:rsid w:val="00DC410D"/>
    <w:rsid w:val="00DC68CA"/>
    <w:rsid w:val="00DC7CBA"/>
    <w:rsid w:val="00DD73B7"/>
    <w:rsid w:val="00DF28BC"/>
    <w:rsid w:val="00DF34B9"/>
    <w:rsid w:val="00E01053"/>
    <w:rsid w:val="00E07ACF"/>
    <w:rsid w:val="00E331A1"/>
    <w:rsid w:val="00E33202"/>
    <w:rsid w:val="00E336A9"/>
    <w:rsid w:val="00E50624"/>
    <w:rsid w:val="00E511CE"/>
    <w:rsid w:val="00E568DF"/>
    <w:rsid w:val="00E64269"/>
    <w:rsid w:val="00E82267"/>
    <w:rsid w:val="00EA010F"/>
    <w:rsid w:val="00ED0E7D"/>
    <w:rsid w:val="00ED1B63"/>
    <w:rsid w:val="00ED3C1F"/>
    <w:rsid w:val="00ED4085"/>
    <w:rsid w:val="00ED420E"/>
    <w:rsid w:val="00EE2F57"/>
    <w:rsid w:val="00EE63EC"/>
    <w:rsid w:val="00EF4C34"/>
    <w:rsid w:val="00EF77C6"/>
    <w:rsid w:val="00F05438"/>
    <w:rsid w:val="00F1361C"/>
    <w:rsid w:val="00F160C7"/>
    <w:rsid w:val="00F329C2"/>
    <w:rsid w:val="00F36D8F"/>
    <w:rsid w:val="00F417B1"/>
    <w:rsid w:val="00F602DF"/>
    <w:rsid w:val="00F7529F"/>
    <w:rsid w:val="00F757B8"/>
    <w:rsid w:val="00F81FD9"/>
    <w:rsid w:val="00F841AA"/>
    <w:rsid w:val="00F96CA0"/>
    <w:rsid w:val="00FA23E8"/>
    <w:rsid w:val="00FD3CC1"/>
    <w:rsid w:val="00FD78D8"/>
    <w:rsid w:val="00FF1E02"/>
    <w:rsid w:val="00FF30B4"/>
    <w:rsid w:val="09267595"/>
    <w:rsid w:val="10C055FF"/>
    <w:rsid w:val="16BB723D"/>
    <w:rsid w:val="240371BF"/>
    <w:rsid w:val="29FD04D3"/>
    <w:rsid w:val="319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2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Theme="minorHAnsi" w:hAnsiTheme="minorHAnsi" w:eastAsiaTheme="minorEastAsia" w:cstheme="minorBidi"/>
      <w:kern w:val="0"/>
      <w:sz w:val="24"/>
    </w:rPr>
  </w:style>
  <w:style w:type="character" w:styleId="15">
    <w:name w:val="Strong"/>
    <w:basedOn w:val="14"/>
    <w:qFormat/>
    <w:uiPriority w:val="99"/>
    <w:rPr>
      <w:b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Header Char"/>
    <w:basedOn w:val="1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8">
    <w:name w:val="页眉 字符"/>
    <w:link w:val="9"/>
    <w:semiHidden/>
    <w:qFormat/>
    <w:locked/>
    <w:uiPriority w:val="99"/>
    <w:rPr>
      <w:sz w:val="18"/>
    </w:rPr>
  </w:style>
  <w:style w:type="character" w:customStyle="1" w:styleId="19">
    <w:name w:val="Footer Char"/>
    <w:basedOn w:val="14"/>
    <w:semiHidden/>
    <w:uiPriority w:val="99"/>
    <w:rPr>
      <w:rFonts w:ascii="Times New Roman" w:hAnsi="Times New Roman"/>
      <w:sz w:val="18"/>
      <w:szCs w:val="18"/>
    </w:rPr>
  </w:style>
  <w:style w:type="character" w:customStyle="1" w:styleId="20">
    <w:name w:val="页脚 字符"/>
    <w:link w:val="8"/>
    <w:locked/>
    <w:uiPriority w:val="99"/>
    <w:rPr>
      <w:sz w:val="18"/>
    </w:rPr>
  </w:style>
  <w:style w:type="character" w:customStyle="1" w:styleId="21">
    <w:name w:val="Body Text Char"/>
    <w:basedOn w:val="14"/>
    <w:semiHidden/>
    <w:qFormat/>
    <w:uiPriority w:val="99"/>
    <w:rPr>
      <w:rFonts w:ascii="Times New Roman" w:hAnsi="Times New Roman"/>
      <w:szCs w:val="24"/>
    </w:rPr>
  </w:style>
  <w:style w:type="character" w:customStyle="1" w:styleId="22">
    <w:name w:val="正文文本 字符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标题 1 字符"/>
    <w:basedOn w:val="14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6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7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8">
    <w:name w:val="批注框文本 字符"/>
    <w:basedOn w:val="14"/>
    <w:link w:val="7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9">
    <w:name w:val="标题 3 字符"/>
    <w:basedOn w:val="14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417ED7-AEEC-4678-9531-D929A368A5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四川省财政厅</Company>
  <Pages>21</Pages>
  <Words>1162</Words>
  <Characters>6628</Characters>
  <Lines>55</Lines>
  <Paragraphs>15</Paragraphs>
  <TotalTime>7</TotalTime>
  <ScaleCrop>false</ScaleCrop>
  <LinksUpToDate>false</LinksUpToDate>
  <CharactersWithSpaces>7775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2019-09-27T07:29:00Z</dcterms:created>
  <dc:creator>张彬茜</dc:creator>
  <cp:lastModifiedBy>不吃萝卜的兔子</cp:lastModifiedBy>
  <cp:lastPrinted>2019-08-01T00:48:00Z</cp:lastPrinted>
  <dcterms:modified xsi:type="dcterms:W3CDTF">2021-06-03T08:50:38Z</dcterms:modified>
  <dc:title>四川省***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4803485EFC414B6A8185BD2D500E9219</vt:lpwstr>
  </property>
</Properties>
</file>