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597"/>
      <w:bookmarkStart w:id="4" w:name="_Toc15378441"/>
      <w:bookmarkStart w:id="5" w:name="_Toc1539647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52"/>
          <w:szCs w:val="52"/>
          <w:lang w:val="en-US" w:eastAsia="zh-CN"/>
        </w:rPr>
      </w:pPr>
      <w:bookmarkStart w:id="6" w:name="_Toc15377194"/>
      <w:bookmarkStart w:id="7" w:name="_Toc15378442"/>
      <w:bookmarkStart w:id="8" w:name="_Toc15396476"/>
      <w:bookmarkStart w:id="9" w:name="_Toc15377426"/>
      <w:bookmarkStart w:id="10" w:name="_Toc15396598"/>
      <w:r>
        <w:rPr>
          <w:rFonts w:hint="eastAsia" w:ascii="方正小标宋简体" w:hAnsi="宋体" w:eastAsia="方正小标宋简体"/>
          <w:color w:val="000000"/>
          <w:sz w:val="72"/>
          <w:szCs w:val="72"/>
        </w:rPr>
        <w:t>四川省</w:t>
      </w:r>
      <w:bookmarkEnd w:id="0"/>
      <w:bookmarkEnd w:id="6"/>
      <w:bookmarkEnd w:id="7"/>
      <w:bookmarkEnd w:id="8"/>
      <w:bookmarkEnd w:id="9"/>
      <w:bookmarkEnd w:id="10"/>
      <w:r>
        <w:rPr>
          <w:rFonts w:hint="eastAsia" w:ascii="方正小标宋简体" w:hAnsi="宋体" w:eastAsia="方正小标宋简体"/>
          <w:color w:val="000000"/>
          <w:sz w:val="72"/>
          <w:szCs w:val="72"/>
          <w:lang w:eastAsia="zh-CN"/>
        </w:rPr>
        <w:t>开江县新宁镇第四小学决算公开</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9</w:t>
      </w:r>
      <w:r>
        <w:rPr>
          <w:rFonts w:hint="eastAsia"/>
        </w:rPr>
        <w:t>月</w:t>
      </w:r>
      <w:r>
        <w:rPr>
          <w:rFonts w:hint="eastAsia"/>
          <w:lang w:val="en-US" w:eastAsia="zh-CN"/>
        </w:rPr>
        <w:t>20</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1" w:name="_Toc15377196"/>
      <w:bookmarkStart w:id="12"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1"/>
      <w:bookmarkEnd w:id="12"/>
    </w:p>
    <w:p>
      <w:pPr>
        <w:widowControl/>
        <w:jc w:val="left"/>
        <w:rPr>
          <w:rFonts w:ascii="黑体" w:eastAsia="黑体"/>
          <w:color w:val="000000"/>
          <w:sz w:val="32"/>
          <w:szCs w:val="32"/>
        </w:rPr>
      </w:pPr>
    </w:p>
    <w:p>
      <w:pPr>
        <w:pStyle w:val="3"/>
        <w:rPr>
          <w:rStyle w:val="25"/>
          <w:rFonts w:ascii="仿宋" w:hAnsi="仿宋" w:eastAsia="仿宋"/>
          <w:b w:val="0"/>
          <w:bCs w:val="0"/>
        </w:rPr>
      </w:pPr>
      <w:bookmarkStart w:id="13" w:name="_Toc15377197"/>
      <w:bookmarkStart w:id="14"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3"/>
      <w:bookmarkEnd w:id="14"/>
    </w:p>
    <w:p>
      <w:pPr>
        <w:pStyle w:val="3"/>
        <w:ind w:firstLine="640" w:firstLineChars="200"/>
        <w:rPr>
          <w:rFonts w:hint="eastAsia" w:ascii="仿宋" w:hAnsi="仿宋" w:eastAsia="仿宋"/>
          <w:b w:val="0"/>
          <w:bCs w:val="0"/>
          <w:color w:val="000000"/>
          <w:sz w:val="32"/>
          <w:szCs w:val="32"/>
        </w:rPr>
      </w:pPr>
      <w:bookmarkStart w:id="15" w:name="_Toc15377200"/>
      <w:bookmarkStart w:id="16" w:name="_Toc15396601"/>
      <w:r>
        <w:rPr>
          <w:rFonts w:hint="eastAsia" w:ascii="仿宋" w:hAnsi="仿宋" w:eastAsia="仿宋"/>
          <w:b w:val="0"/>
          <w:bCs w:val="0"/>
          <w:color w:val="000000"/>
          <w:sz w:val="32"/>
          <w:szCs w:val="32"/>
        </w:rPr>
        <w:t>达州市开江县新宁镇第</w:t>
      </w:r>
      <w:r>
        <w:rPr>
          <w:rFonts w:hint="eastAsia" w:ascii="仿宋" w:hAnsi="仿宋" w:eastAsia="仿宋"/>
          <w:b w:val="0"/>
          <w:bCs w:val="0"/>
          <w:color w:val="000000"/>
          <w:sz w:val="32"/>
          <w:szCs w:val="32"/>
          <w:lang w:eastAsia="zh-CN"/>
        </w:rPr>
        <w:t>四</w:t>
      </w:r>
      <w:r>
        <w:rPr>
          <w:rFonts w:hint="eastAsia" w:ascii="仿宋" w:hAnsi="仿宋" w:eastAsia="仿宋"/>
          <w:b w:val="0"/>
          <w:bCs w:val="0"/>
          <w:color w:val="000000"/>
          <w:sz w:val="32"/>
          <w:szCs w:val="32"/>
        </w:rPr>
        <w:t>小学执行中小学校会计制度，单位基本性质为财政补助事业单位，单位属于普通小学教育。新宁镇第</w:t>
      </w:r>
      <w:r>
        <w:rPr>
          <w:rFonts w:hint="eastAsia" w:ascii="仿宋" w:hAnsi="仿宋" w:eastAsia="仿宋"/>
          <w:b w:val="0"/>
          <w:bCs w:val="0"/>
          <w:color w:val="000000"/>
          <w:sz w:val="32"/>
          <w:szCs w:val="32"/>
          <w:lang w:eastAsia="zh-CN"/>
        </w:rPr>
        <w:t>四</w:t>
      </w:r>
      <w:r>
        <w:rPr>
          <w:rFonts w:hint="eastAsia" w:ascii="仿宋" w:hAnsi="仿宋" w:eastAsia="仿宋"/>
          <w:b w:val="0"/>
          <w:bCs w:val="0"/>
          <w:color w:val="000000"/>
          <w:sz w:val="32"/>
          <w:szCs w:val="32"/>
        </w:rPr>
        <w:t xml:space="preserve">小学是完成义务教育小学阶段，校园环境幽雅，绿树成荫。学校坚持“志诚志勤，唯美唯新”的办学理念，努力营造学生健康成长的良好氛围，充分尊重学生的人格、个性，以人为本，激发学生树立自信心，有良好的心态，有良好的行为习惯、健全的人格魅力。在全体师生的共同努力下，圆满完成各项工作任务。  </w:t>
      </w:r>
    </w:p>
    <w:p>
      <w:pPr>
        <w:pStyle w:val="3"/>
        <w:ind w:firstLine="643" w:firstLineChars="200"/>
        <w:rPr>
          <w:rStyle w:val="25"/>
          <w:b w:val="0"/>
          <w:bCs w:val="0"/>
        </w:rPr>
      </w:pPr>
      <w:r>
        <w:rPr>
          <w:rFonts w:hint="eastAsia" w:ascii="仿宋" w:hAnsi="仿宋" w:eastAsia="仿宋"/>
          <w:bCs/>
          <w:color w:val="000000"/>
          <w:sz w:val="32"/>
          <w:szCs w:val="32"/>
        </w:rPr>
        <w:t xml:space="preserve"> </w:t>
      </w:r>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15"/>
      <w:bookmarkEnd w:id="16"/>
    </w:p>
    <w:p>
      <w:pPr>
        <w:pStyle w:val="5"/>
        <w:adjustRightInd w:val="0"/>
        <w:snapToGrid w:val="0"/>
        <w:spacing w:before="93" w:line="600" w:lineRule="exact"/>
        <w:ind w:firstLine="672" w:firstLineChars="210"/>
        <w:rPr>
          <w:rFonts w:hint="eastAsia" w:ascii="仿宋" w:hAnsi="仿宋" w:eastAsia="仿宋"/>
          <w:sz w:val="32"/>
          <w:szCs w:val="32"/>
          <w:lang w:eastAsia="zh-CN"/>
        </w:rPr>
      </w:pPr>
      <w:r>
        <w:rPr>
          <w:rFonts w:hint="eastAsia" w:ascii="仿宋" w:hAnsi="仿宋" w:eastAsia="仿宋"/>
          <w:sz w:val="32"/>
          <w:szCs w:val="32"/>
        </w:rPr>
        <w:t>开江县新宁镇第</w:t>
      </w:r>
      <w:r>
        <w:rPr>
          <w:rFonts w:hint="eastAsia" w:ascii="仿宋" w:hAnsi="仿宋" w:eastAsia="仿宋"/>
          <w:sz w:val="32"/>
          <w:szCs w:val="32"/>
          <w:lang w:eastAsia="zh-CN"/>
        </w:rPr>
        <w:t>四</w:t>
      </w:r>
      <w:r>
        <w:rPr>
          <w:rFonts w:hint="eastAsia" w:ascii="仿宋" w:hAnsi="仿宋" w:eastAsia="仿宋"/>
          <w:sz w:val="32"/>
          <w:szCs w:val="32"/>
        </w:rPr>
        <w:t>小学，现有编制数</w:t>
      </w:r>
      <w:r>
        <w:rPr>
          <w:rFonts w:hint="eastAsia" w:ascii="仿宋" w:hAnsi="仿宋" w:eastAsia="仿宋"/>
          <w:sz w:val="32"/>
          <w:szCs w:val="32"/>
          <w:lang w:val="en-US" w:eastAsia="zh-CN"/>
        </w:rPr>
        <w:t>45</w:t>
      </w:r>
      <w:r>
        <w:rPr>
          <w:rFonts w:hint="eastAsia" w:ascii="仿宋" w:hAnsi="仿宋" w:eastAsia="仿宋"/>
          <w:sz w:val="32"/>
          <w:szCs w:val="32"/>
        </w:rPr>
        <w:t>人，年末实有</w:t>
      </w:r>
      <w:r>
        <w:rPr>
          <w:rFonts w:hint="eastAsia" w:ascii="仿宋" w:hAnsi="仿宋" w:eastAsia="仿宋"/>
          <w:sz w:val="32"/>
          <w:szCs w:val="32"/>
          <w:lang w:val="en-US" w:eastAsia="zh-CN"/>
        </w:rPr>
        <w:t>40</w:t>
      </w:r>
      <w:r>
        <w:rPr>
          <w:rFonts w:hint="eastAsia" w:ascii="仿宋" w:hAnsi="仿宋" w:eastAsia="仿宋"/>
          <w:sz w:val="32"/>
          <w:szCs w:val="32"/>
        </w:rPr>
        <w:t>人</w:t>
      </w:r>
      <w:r>
        <w:rPr>
          <w:rFonts w:hint="eastAsia" w:ascii="仿宋" w:hAnsi="仿宋" w:eastAsia="仿宋"/>
          <w:sz w:val="32"/>
          <w:szCs w:val="32"/>
          <w:lang w:eastAsia="zh-CN"/>
        </w:rPr>
        <w:t>。</w:t>
      </w:r>
      <w:bookmarkStart w:id="17" w:name="_Toc15396602"/>
      <w:bookmarkStart w:id="18" w:name="_Toc15377204"/>
    </w:p>
    <w:p>
      <w:pPr>
        <w:pStyle w:val="5"/>
        <w:adjustRightInd w:val="0"/>
        <w:snapToGrid w:val="0"/>
        <w:spacing w:before="93" w:line="600" w:lineRule="exact"/>
        <w:ind w:firstLine="672" w:firstLineChars="210"/>
        <w:rPr>
          <w:rFonts w:hint="eastAsia" w:ascii="仿宋" w:hAnsi="仿宋" w:eastAsia="仿宋"/>
          <w:sz w:val="32"/>
          <w:szCs w:val="32"/>
          <w:lang w:eastAsia="zh-CN"/>
        </w:rPr>
      </w:pPr>
    </w:p>
    <w:p>
      <w:pPr>
        <w:pStyle w:val="5"/>
        <w:adjustRightInd w:val="0"/>
        <w:snapToGrid w:val="0"/>
        <w:spacing w:before="93" w:line="600" w:lineRule="exact"/>
        <w:ind w:firstLine="672" w:firstLineChars="210"/>
        <w:rPr>
          <w:rFonts w:hint="eastAsia" w:ascii="仿宋" w:hAnsi="仿宋" w:eastAsia="仿宋"/>
          <w:sz w:val="32"/>
          <w:szCs w:val="32"/>
          <w:lang w:eastAsia="zh-CN"/>
        </w:rPr>
      </w:pPr>
    </w:p>
    <w:p>
      <w:pPr>
        <w:pStyle w:val="5"/>
        <w:adjustRightInd w:val="0"/>
        <w:snapToGrid w:val="0"/>
        <w:spacing w:before="93" w:line="600" w:lineRule="exact"/>
        <w:ind w:firstLine="672" w:firstLineChars="210"/>
        <w:rPr>
          <w:rFonts w:hint="eastAsia" w:ascii="仿宋" w:hAnsi="仿宋" w:eastAsia="仿宋"/>
          <w:sz w:val="32"/>
          <w:szCs w:val="32"/>
          <w:lang w:eastAsia="zh-CN"/>
        </w:rPr>
      </w:pPr>
    </w:p>
    <w:p>
      <w:pPr>
        <w:pStyle w:val="5"/>
        <w:adjustRightInd w:val="0"/>
        <w:snapToGrid w:val="0"/>
        <w:spacing w:before="93" w:line="600" w:lineRule="exact"/>
        <w:ind w:firstLine="672" w:firstLineChars="210"/>
        <w:rPr>
          <w:rFonts w:hint="eastAsia" w:ascii="仿宋" w:hAnsi="仿宋" w:eastAsia="仿宋"/>
          <w:sz w:val="32"/>
          <w:szCs w:val="32"/>
          <w:lang w:eastAsia="zh-CN"/>
        </w:rPr>
      </w:pPr>
    </w:p>
    <w:p>
      <w:pPr>
        <w:pStyle w:val="5"/>
        <w:adjustRightInd w:val="0"/>
        <w:snapToGrid w:val="0"/>
        <w:spacing w:before="93" w:line="600" w:lineRule="exact"/>
        <w:ind w:firstLine="672" w:firstLineChars="210"/>
        <w:rPr>
          <w:rFonts w:hint="eastAsia" w:ascii="仿宋" w:hAnsi="仿宋" w:eastAsia="仿宋"/>
          <w:sz w:val="32"/>
          <w:szCs w:val="32"/>
          <w:lang w:eastAsia="zh-CN"/>
        </w:rPr>
      </w:pPr>
    </w:p>
    <w:p>
      <w:pPr>
        <w:pStyle w:val="5"/>
        <w:adjustRightInd w:val="0"/>
        <w:snapToGrid w:val="0"/>
        <w:spacing w:before="93" w:line="600" w:lineRule="exact"/>
        <w:ind w:firstLine="924" w:firstLineChars="210"/>
        <w:rPr>
          <w:rStyle w:val="24"/>
          <w:rFonts w:ascii="黑体" w:hAnsi="黑体" w:eastAsia="黑体"/>
          <w:b w:val="0"/>
          <w:bCs w:val="0"/>
        </w:rPr>
      </w:pPr>
      <w:r>
        <w:rPr>
          <w:rFonts w:hint="eastAsia" w:ascii="黑体" w:hAnsi="黑体" w:eastAsia="黑体"/>
          <w:b w:val="0"/>
          <w:color w:val="000000"/>
          <w:sz w:val="44"/>
          <w:szCs w:val="44"/>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17"/>
      <w:bookmarkEnd w:id="18"/>
    </w:p>
    <w:p/>
    <w:p>
      <w:pPr>
        <w:pStyle w:val="23"/>
        <w:numPr>
          <w:ilvl w:val="0"/>
          <w:numId w:val="1"/>
        </w:numPr>
        <w:spacing w:line="600" w:lineRule="exact"/>
        <w:ind w:firstLineChars="0"/>
        <w:outlineLvl w:val="1"/>
        <w:rPr>
          <w:rStyle w:val="25"/>
          <w:rFonts w:ascii="黑体" w:hAnsi="黑体" w:eastAsia="黑体"/>
          <w:b w:val="0"/>
        </w:rPr>
      </w:pPr>
      <w:bookmarkStart w:id="19" w:name="_Toc15396603"/>
      <w:bookmarkStart w:id="20"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19"/>
      <w:bookmarkEnd w:id="20"/>
    </w:p>
    <w:p>
      <w:pPr>
        <w:spacing w:line="600" w:lineRule="exact"/>
        <w:ind w:firstLine="640" w:firstLineChars="200"/>
        <w:rPr>
          <w:rFonts w:hint="eastAsia" w:ascii="黑体" w:hAnsi="黑体" w:eastAsia="黑体"/>
          <w:color w:val="000000"/>
          <w:sz w:val="32"/>
          <w:szCs w:val="32"/>
        </w:rPr>
      </w:pPr>
      <w:r>
        <w:rPr>
          <w:rFonts w:hint="eastAsia" w:ascii="仿宋" w:hAnsi="仿宋" w:eastAsia="仿宋"/>
          <w:color w:val="000000"/>
          <w:sz w:val="32"/>
          <w:szCs w:val="32"/>
        </w:rPr>
        <w:t>2018年度收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827.78万元，</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lang w:val="en-US" w:eastAsia="zh-CN"/>
        </w:rPr>
        <w:t>510.74</w:t>
      </w:r>
      <w:r>
        <w:rPr>
          <w:rFonts w:hint="eastAsia" w:ascii="仿宋" w:hAnsi="仿宋" w:eastAsia="仿宋"/>
          <w:color w:val="000000"/>
          <w:sz w:val="32"/>
          <w:szCs w:val="32"/>
        </w:rPr>
        <w:t>万元。</w:t>
      </w:r>
      <w:bookmarkStart w:id="21" w:name="_Toc15377206"/>
      <w:bookmarkStart w:id="22" w:name="_Toc15396604"/>
    </w:p>
    <w:p>
      <w:pPr>
        <w:pStyle w:val="23"/>
        <w:numPr>
          <w:ilvl w:val="0"/>
          <w:numId w:val="0"/>
        </w:numPr>
        <w:spacing w:line="600" w:lineRule="exact"/>
        <w:ind w:left="640" w:leftChars="0"/>
        <w:outlineLvl w:val="1"/>
        <w:rPr>
          <w:rStyle w:val="25"/>
          <w:rFonts w:ascii="黑体" w:hAnsi="黑体" w:eastAsia="黑体"/>
          <w:b w:val="0"/>
        </w:rPr>
      </w:pPr>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5"/>
          <w:rFonts w:hint="eastAsia" w:ascii="黑体" w:hAnsi="黑体" w:eastAsia="黑体"/>
          <w:b w:val="0"/>
        </w:rPr>
        <w:t>入决算情况说明</w:t>
      </w:r>
      <w:bookmarkEnd w:id="21"/>
      <w:bookmarkEnd w:id="22"/>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827.78万元</w:t>
      </w:r>
      <w:r>
        <w:rPr>
          <w:rFonts w:hint="eastAsia" w:ascii="仿宋" w:hAnsi="仿宋" w:eastAsia="仿宋"/>
          <w:color w:val="000000"/>
          <w:sz w:val="32"/>
          <w:szCs w:val="32"/>
        </w:rPr>
        <w:t>，其中：一般公共预算财政拨款收入</w:t>
      </w:r>
      <w:r>
        <w:rPr>
          <w:rFonts w:hint="eastAsia" w:ascii="仿宋" w:hAnsi="仿宋" w:eastAsia="仿宋"/>
          <w:color w:val="000000"/>
          <w:sz w:val="32"/>
          <w:szCs w:val="32"/>
          <w:lang w:val="en-US" w:eastAsia="zh-CN"/>
        </w:rPr>
        <w:t>827.78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，占</w:t>
      </w:r>
      <w:r>
        <w:rPr>
          <w:rFonts w:hint="eastAsia" w:ascii="仿宋" w:hAnsi="仿宋" w:eastAsia="仿宋"/>
          <w:color w:val="000000"/>
          <w:sz w:val="32"/>
          <w:szCs w:val="32"/>
          <w:lang w:val="en-US" w:eastAsia="zh-CN"/>
        </w:rPr>
        <w:t>100%。</w:t>
      </w:r>
    </w:p>
    <w:p>
      <w:pPr>
        <w:spacing w:line="600" w:lineRule="exact"/>
        <w:ind w:firstLine="420" w:firstLineChars="200"/>
        <w:rPr>
          <w:rFonts w:hint="eastAsia" w:ascii="仿宋" w:hAnsi="仿宋" w:eastAsia="仿宋"/>
          <w:color w:val="000000"/>
          <w:sz w:val="32"/>
          <w:szCs w:val="32"/>
          <w:lang w:val="en-US" w:eastAsia="zh-CN"/>
        </w:rPr>
      </w:pPr>
      <w:r>
        <w:drawing>
          <wp:anchor distT="0" distB="0" distL="114935" distR="114935" simplePos="0" relativeHeight="251659264" behindDoc="0" locked="0" layoutInCell="1" allowOverlap="1">
            <wp:simplePos x="0" y="0"/>
            <wp:positionH relativeFrom="column">
              <wp:posOffset>414655</wp:posOffset>
            </wp:positionH>
            <wp:positionV relativeFrom="paragraph">
              <wp:posOffset>31115</wp:posOffset>
            </wp:positionV>
            <wp:extent cx="4590415" cy="2767330"/>
            <wp:effectExtent l="0" t="0" r="635" b="139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590415" cy="2767330"/>
                    </a:xfrm>
                    <a:prstGeom prst="rect">
                      <a:avLst/>
                    </a:prstGeom>
                    <a:noFill/>
                    <a:ln>
                      <a:noFill/>
                    </a:ln>
                  </pic:spPr>
                </pic:pic>
              </a:graphicData>
            </a:graphic>
          </wp:anchor>
        </w:drawing>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default" w:ascii="仿宋" w:hAnsi="仿宋" w:eastAsia="仿宋"/>
          <w:color w:val="000000"/>
          <w:sz w:val="32"/>
          <w:szCs w:val="32"/>
          <w:lang w:val="en-US" w:eastAsia="zh-CN"/>
        </w:rPr>
      </w:pPr>
    </w:p>
    <w:p>
      <w:pPr>
        <w:spacing w:line="600" w:lineRule="exact"/>
        <w:ind w:firstLine="640" w:firstLineChars="200"/>
        <w:rPr>
          <w:rFonts w:ascii="仿宋_GB2312" w:eastAsia="仿宋_GB2312"/>
          <w:color w:val="FF0000"/>
          <w:sz w:val="32"/>
          <w:szCs w:val="32"/>
        </w:rPr>
      </w:pPr>
    </w:p>
    <w:p>
      <w:pPr>
        <w:pStyle w:val="23"/>
        <w:numPr>
          <w:ilvl w:val="0"/>
          <w:numId w:val="0"/>
        </w:numPr>
        <w:spacing w:line="600" w:lineRule="exact"/>
        <w:ind w:left="640" w:leftChars="0"/>
        <w:outlineLvl w:val="1"/>
        <w:rPr>
          <w:rFonts w:hint="eastAsia" w:ascii="黑体" w:hAnsi="黑体" w:eastAsia="黑体"/>
          <w:color w:val="000000"/>
          <w:sz w:val="32"/>
          <w:szCs w:val="32"/>
          <w:lang w:eastAsia="zh-CN"/>
        </w:rPr>
      </w:pPr>
      <w:bookmarkStart w:id="23" w:name="_Toc15377207"/>
      <w:bookmarkStart w:id="24" w:name="_Toc15396605"/>
    </w:p>
    <w:p>
      <w:pPr>
        <w:pStyle w:val="23"/>
        <w:numPr>
          <w:ilvl w:val="0"/>
          <w:numId w:val="0"/>
        </w:numPr>
        <w:spacing w:line="600" w:lineRule="exact"/>
        <w:ind w:left="640" w:leftChars="0"/>
        <w:outlineLvl w:val="1"/>
        <w:rPr>
          <w:rFonts w:hint="eastAsia" w:ascii="黑体" w:hAnsi="黑体" w:eastAsia="黑体"/>
          <w:color w:val="000000"/>
          <w:sz w:val="32"/>
          <w:szCs w:val="32"/>
          <w:lang w:eastAsia="zh-CN"/>
        </w:rPr>
      </w:pPr>
    </w:p>
    <w:p>
      <w:pPr>
        <w:pStyle w:val="23"/>
        <w:numPr>
          <w:ilvl w:val="0"/>
          <w:numId w:val="0"/>
        </w:numPr>
        <w:spacing w:line="600" w:lineRule="exact"/>
        <w:ind w:left="640" w:leftChars="0"/>
        <w:outlineLvl w:val="1"/>
        <w:rPr>
          <w:rFonts w:hint="eastAsia" w:ascii="黑体" w:hAnsi="黑体" w:eastAsia="黑体"/>
          <w:color w:val="000000"/>
          <w:sz w:val="32"/>
          <w:szCs w:val="32"/>
          <w:lang w:eastAsia="zh-CN"/>
        </w:rPr>
      </w:pPr>
    </w:p>
    <w:p>
      <w:pPr>
        <w:pStyle w:val="23"/>
        <w:numPr>
          <w:ilvl w:val="0"/>
          <w:numId w:val="0"/>
        </w:numPr>
        <w:spacing w:line="600" w:lineRule="exact"/>
        <w:ind w:left="640" w:leftChars="0"/>
        <w:outlineLvl w:val="1"/>
        <w:rPr>
          <w:rStyle w:val="25"/>
          <w:rFonts w:ascii="黑体" w:hAnsi="黑体" w:eastAsia="黑体"/>
          <w:b w:val="0"/>
        </w:rPr>
      </w:pPr>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5"/>
          <w:rFonts w:hint="eastAsia" w:ascii="黑体" w:hAnsi="黑体" w:eastAsia="黑体"/>
          <w:b w:val="0"/>
        </w:rPr>
        <w:t>出决算情况说明</w:t>
      </w:r>
      <w:bookmarkEnd w:id="23"/>
      <w:bookmarkEnd w:id="24"/>
    </w:p>
    <w:p>
      <w:pPr>
        <w:spacing w:line="600" w:lineRule="exact"/>
        <w:ind w:firstLine="640"/>
        <w:rPr>
          <w:rFonts w:hint="eastAsia" w:ascii="仿宋" w:hAnsi="仿宋" w:eastAsia="仿宋"/>
          <w:color w:val="000000"/>
          <w:sz w:val="32"/>
          <w:szCs w:val="32"/>
          <w:shd w:val="pct10" w:color="auto" w:fill="FFFFFF"/>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510.74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510.74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val="en-US" w:eastAsia="zh-CN"/>
        </w:rPr>
        <w:t>。</w:t>
      </w:r>
    </w:p>
    <w:p>
      <w:pPr>
        <w:spacing w:line="600" w:lineRule="exact"/>
        <w:ind w:firstLine="420" w:firstLineChars="200"/>
        <w:outlineLvl w:val="1"/>
        <w:rPr>
          <w:rFonts w:hint="eastAsia" w:ascii="黑体" w:hAnsi="黑体" w:eastAsia="黑体"/>
          <w:color w:val="000000"/>
          <w:sz w:val="32"/>
          <w:szCs w:val="32"/>
        </w:rPr>
      </w:pPr>
      <w:bookmarkStart w:id="25" w:name="_Toc15377208"/>
      <w:bookmarkStart w:id="26" w:name="_Toc15396606"/>
      <w:r>
        <w:drawing>
          <wp:anchor distT="0" distB="0" distL="114935" distR="114935" simplePos="0" relativeHeight="251660288" behindDoc="0" locked="0" layoutInCell="1" allowOverlap="1">
            <wp:simplePos x="0" y="0"/>
            <wp:positionH relativeFrom="column">
              <wp:posOffset>222250</wp:posOffset>
            </wp:positionH>
            <wp:positionV relativeFrom="paragraph">
              <wp:posOffset>69215</wp:posOffset>
            </wp:positionV>
            <wp:extent cx="4590415" cy="2767330"/>
            <wp:effectExtent l="0" t="0" r="635" b="1397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590415" cy="2767330"/>
                    </a:xfrm>
                    <a:prstGeom prst="rect">
                      <a:avLst/>
                    </a:prstGeom>
                    <a:noFill/>
                    <a:ln>
                      <a:noFill/>
                    </a:ln>
                  </pic:spPr>
                </pic:pic>
              </a:graphicData>
            </a:graphic>
          </wp:anchor>
        </w:drawing>
      </w: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5"/>
      <w:bookmarkEnd w:id="26"/>
    </w:p>
    <w:p>
      <w:pPr>
        <w:spacing w:line="600" w:lineRule="exact"/>
        <w:ind w:firstLine="640" w:firstLineChars="200"/>
        <w:rPr>
          <w:rFonts w:hint="eastAsia" w:ascii="黑体" w:hAnsi="黑体" w:eastAsia="黑体"/>
          <w:color w:val="000000"/>
          <w:sz w:val="32"/>
          <w:szCs w:val="32"/>
        </w:rPr>
      </w:pPr>
      <w:r>
        <w:rPr>
          <w:rFonts w:hint="eastAsia" w:ascii="仿宋" w:hAnsi="仿宋" w:eastAsia="仿宋"/>
          <w:color w:val="000000"/>
          <w:sz w:val="32"/>
          <w:szCs w:val="32"/>
        </w:rPr>
        <w:t>2018年度收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lang w:val="en-US" w:eastAsia="zh-CN"/>
        </w:rPr>
        <w:t>827.78万元，</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lang w:val="en-US" w:eastAsia="zh-CN"/>
        </w:rPr>
        <w:t>510.74</w:t>
      </w:r>
      <w:r>
        <w:rPr>
          <w:rFonts w:hint="eastAsia" w:ascii="仿宋" w:hAnsi="仿宋" w:eastAsia="仿宋"/>
          <w:color w:val="000000"/>
          <w:sz w:val="32"/>
          <w:szCs w:val="32"/>
        </w:rPr>
        <w:t>万元。</w:t>
      </w:r>
      <w:bookmarkStart w:id="27" w:name="_Toc15377209"/>
      <w:bookmarkStart w:id="28" w:name="_Toc15396607"/>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7"/>
      <w:bookmarkEnd w:id="28"/>
    </w:p>
    <w:p>
      <w:pPr>
        <w:spacing w:line="600" w:lineRule="exact"/>
        <w:ind w:firstLine="643" w:firstLineChars="200"/>
        <w:outlineLvl w:val="2"/>
        <w:rPr>
          <w:rFonts w:ascii="仿宋" w:hAnsi="仿宋" w:eastAsia="仿宋"/>
          <w:color w:val="000000"/>
          <w:sz w:val="32"/>
          <w:szCs w:val="32"/>
        </w:rPr>
      </w:pPr>
      <w:bookmarkStart w:id="29" w:name="_Toc15377210"/>
      <w:r>
        <w:rPr>
          <w:rFonts w:hint="eastAsia" w:ascii="仿宋" w:hAnsi="仿宋" w:eastAsia="仿宋"/>
          <w:b/>
          <w:color w:val="000000"/>
          <w:sz w:val="32"/>
          <w:szCs w:val="32"/>
        </w:rPr>
        <w:t>（一）一般公共预算财政拨款支出决算总体情况</w:t>
      </w:r>
      <w:bookmarkEnd w:id="29"/>
    </w:p>
    <w:p>
      <w:pPr>
        <w:spacing w:line="600" w:lineRule="exact"/>
        <w:ind w:left="638" w:leftChars="304" w:firstLine="0" w:firstLineChars="0"/>
        <w:outlineLvl w:val="2"/>
        <w:rPr>
          <w:rFonts w:ascii="仿宋" w:hAnsi="仿宋" w:eastAsia="仿宋"/>
          <w:b/>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8年一般公共预算财政拨款支出支</w:t>
      </w:r>
      <w:r>
        <w:rPr>
          <w:rFonts w:hint="eastAsia" w:ascii="仿宋" w:hAnsi="仿宋" w:eastAsia="仿宋"/>
          <w:color w:val="000000"/>
          <w:sz w:val="32"/>
          <w:szCs w:val="32"/>
          <w:lang w:eastAsia="zh-CN"/>
        </w:rPr>
        <w:t>出</w:t>
      </w:r>
      <w:r>
        <w:rPr>
          <w:rFonts w:hint="eastAsia" w:ascii="仿宋" w:hAnsi="仿宋" w:eastAsia="仿宋"/>
          <w:color w:val="000000"/>
          <w:sz w:val="32"/>
          <w:szCs w:val="32"/>
          <w:lang w:val="en-US" w:eastAsia="zh-CN"/>
        </w:rPr>
        <w:t>510.74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bookmarkStart w:id="30" w:name="_Toc15377211"/>
      <w:r>
        <w:rPr>
          <w:rFonts w:hint="eastAsia" w:ascii="仿宋" w:hAnsi="仿宋" w:eastAsia="仿宋"/>
          <w:b/>
          <w:color w:val="000000"/>
          <w:sz w:val="32"/>
          <w:szCs w:val="32"/>
        </w:rPr>
        <w:t>（二）一般公共预算财政拨款支出决算结构情况</w:t>
      </w:r>
      <w:bookmarkEnd w:id="30"/>
    </w:p>
    <w:p>
      <w:pPr>
        <w:spacing w:line="600" w:lineRule="exact"/>
        <w:ind w:firstLine="640"/>
        <w:rPr>
          <w:rFonts w:hint="eastAsia" w:ascii="仿宋" w:hAnsi="仿宋" w:eastAsia="仿宋"/>
          <w:b/>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lang w:val="en-US" w:eastAsia="zh-CN"/>
        </w:rPr>
        <w:t>510.74</w:t>
      </w:r>
      <w:r>
        <w:rPr>
          <w:rFonts w:hint="eastAsia" w:ascii="仿宋" w:hAnsi="仿宋" w:eastAsia="仿宋"/>
          <w:color w:val="000000"/>
          <w:sz w:val="32"/>
          <w:szCs w:val="32"/>
        </w:rPr>
        <w:t>万元</w:t>
      </w:r>
      <w:r>
        <w:rPr>
          <w:rFonts w:hint="eastAsia" w:ascii="仿宋" w:hAnsi="仿宋" w:eastAsia="仿宋"/>
          <w:color w:val="000000" w:themeColor="text1"/>
          <w:sz w:val="32"/>
          <w:szCs w:val="32"/>
          <w14:textFill>
            <w14:solidFill>
              <w14:schemeClr w14:val="tx1"/>
            </w14:solidFill>
          </w14:textFill>
        </w:rPr>
        <w:t>，主要用于以下方面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398.34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78.59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60.67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11.64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18.18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3.44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33.56</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6.33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bookmarkStart w:id="31" w:name="_Toc15377212"/>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420" w:firstLineChars="200"/>
        <w:outlineLvl w:val="2"/>
        <w:rPr>
          <w:rFonts w:hint="eastAsia" w:ascii="仿宋" w:hAnsi="仿宋" w:eastAsia="仿宋"/>
          <w:b/>
          <w:color w:val="000000"/>
          <w:sz w:val="32"/>
          <w:szCs w:val="32"/>
        </w:rPr>
      </w:pPr>
      <w:r>
        <w:drawing>
          <wp:anchor distT="0" distB="0" distL="114935" distR="114935" simplePos="0" relativeHeight="251661312" behindDoc="0" locked="0" layoutInCell="1" allowOverlap="1">
            <wp:simplePos x="0" y="0"/>
            <wp:positionH relativeFrom="column">
              <wp:posOffset>457200</wp:posOffset>
            </wp:positionH>
            <wp:positionV relativeFrom="paragraph">
              <wp:posOffset>-803275</wp:posOffset>
            </wp:positionV>
            <wp:extent cx="4596130" cy="2761615"/>
            <wp:effectExtent l="0" t="0" r="13970" b="635"/>
            <wp:wrapNone/>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4596130" cy="2761615"/>
                    </a:xfrm>
                    <a:prstGeom prst="rect">
                      <a:avLst/>
                    </a:prstGeom>
                    <a:noFill/>
                    <a:ln>
                      <a:noFill/>
                    </a:ln>
                  </pic:spPr>
                </pic:pic>
              </a:graphicData>
            </a:graphic>
          </wp:anchor>
        </w:drawing>
      </w:r>
    </w:p>
    <w:p>
      <w:pPr>
        <w:spacing w:line="600" w:lineRule="exact"/>
        <w:outlineLvl w:val="2"/>
        <w:rPr>
          <w:rFonts w:hint="eastAsia" w:ascii="仿宋" w:hAnsi="仿宋" w:eastAsia="仿宋"/>
          <w:b/>
          <w:color w:val="000000"/>
          <w:sz w:val="32"/>
          <w:szCs w:val="32"/>
        </w:rPr>
      </w:pPr>
    </w:p>
    <w:p>
      <w:pPr>
        <w:spacing w:line="600" w:lineRule="exact"/>
        <w:outlineLvl w:val="2"/>
        <w:rPr>
          <w:rFonts w:hint="eastAsia" w:ascii="仿宋" w:hAnsi="仿宋" w:eastAsia="仿宋"/>
          <w:b/>
          <w:color w:val="000000"/>
          <w:sz w:val="32"/>
          <w:szCs w:val="32"/>
        </w:rPr>
      </w:pPr>
    </w:p>
    <w:p>
      <w:pPr>
        <w:spacing w:line="600" w:lineRule="exact"/>
        <w:outlineLvl w:val="2"/>
        <w:rPr>
          <w:rFonts w:hint="eastAsia" w:ascii="仿宋" w:hAnsi="仿宋" w:eastAsia="仿宋"/>
          <w:b/>
          <w:color w:val="000000"/>
          <w:sz w:val="32"/>
          <w:szCs w:val="32"/>
        </w:rPr>
      </w:pPr>
    </w:p>
    <w:p>
      <w:pPr>
        <w:spacing w:line="600" w:lineRule="exact"/>
        <w:outlineLvl w:val="2"/>
        <w:rPr>
          <w:rFonts w:hint="eastAsia" w:ascii="仿宋" w:hAnsi="仿宋" w:eastAsia="仿宋"/>
          <w:b/>
          <w:color w:val="000000"/>
          <w:sz w:val="32"/>
          <w:szCs w:val="32"/>
        </w:rPr>
      </w:pPr>
    </w:p>
    <w:p>
      <w:pPr>
        <w:spacing w:line="600" w:lineRule="exact"/>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1"/>
    </w:p>
    <w:p>
      <w:pPr>
        <w:spacing w:line="600" w:lineRule="exact"/>
        <w:ind w:firstLine="643" w:firstLineChars="200"/>
        <w:outlineLvl w:val="2"/>
        <w:rPr>
          <w:rFonts w:ascii="仿宋" w:hAnsi="仿宋" w:eastAsia="仿宋"/>
          <w:color w:val="FF0000"/>
          <w:sz w:val="32"/>
          <w:szCs w:val="32"/>
        </w:rPr>
      </w:pPr>
      <w:bookmarkStart w:id="32" w:name="_Toc15377213"/>
      <w:bookmarkStart w:id="33" w:name="_Toc15377444"/>
      <w:bookmarkStart w:id="34" w:name="_Toc15378460"/>
      <w:r>
        <w:rPr>
          <w:rFonts w:hint="eastAsia" w:ascii="仿宋" w:hAnsi="仿宋" w:eastAsia="仿宋"/>
          <w:b/>
          <w:color w:val="000000" w:themeColor="text1"/>
          <w:sz w:val="32"/>
          <w:szCs w:val="32"/>
          <w14:textFill>
            <w14:solidFill>
              <w14:schemeClr w14:val="tx1"/>
            </w14:solidFill>
          </w14:textFill>
        </w:rPr>
        <w:t>2018年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color w:val="000000"/>
          <w:sz w:val="32"/>
          <w:szCs w:val="32"/>
          <w:lang w:val="en-US" w:eastAsia="zh-CN"/>
        </w:rPr>
        <w:t>510.74</w:t>
      </w:r>
      <w:r>
        <w:rPr>
          <w:rFonts w:hint="eastAsia" w:ascii="仿宋" w:hAnsi="仿宋" w:eastAsia="仿宋"/>
          <w:color w:val="000000"/>
          <w:sz w:val="32"/>
          <w:szCs w:val="32"/>
        </w:rPr>
        <w:t>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2"/>
      <w:bookmarkEnd w:id="33"/>
      <w:bookmarkEnd w:id="34"/>
    </w:p>
    <w:p>
      <w:pPr>
        <w:spacing w:line="600" w:lineRule="exact"/>
        <w:ind w:firstLine="643" w:firstLineChars="200"/>
        <w:rPr>
          <w:rStyle w:val="14"/>
          <w:rFonts w:hint="eastAsia" w:ascii="仿宋" w:hAnsi="仿宋" w:eastAsia="仿宋"/>
          <w:bCs/>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1.一般公共服务: 支出决算为0万元。</w:t>
      </w:r>
    </w:p>
    <w:p>
      <w:pPr>
        <w:spacing w:line="600" w:lineRule="exact"/>
        <w:ind w:firstLine="643" w:firstLineChars="200"/>
        <w:rPr>
          <w:rStyle w:val="14"/>
          <w:rFonts w:hint="eastAsia" w:ascii="仿宋" w:hAnsi="仿宋" w:eastAsia="仿宋"/>
          <w:bCs/>
          <w:color w:val="000000"/>
          <w:sz w:val="32"/>
          <w:szCs w:val="32"/>
        </w:rPr>
      </w:pPr>
      <w:r>
        <w:rPr>
          <w:rStyle w:val="14"/>
          <w:rFonts w:hint="eastAsia" w:ascii="仿宋" w:hAnsi="仿宋" w:eastAsia="仿宋"/>
          <w:bCs/>
          <w:color w:val="000000"/>
          <w:sz w:val="32"/>
          <w:szCs w:val="32"/>
        </w:rPr>
        <w:t>2.教育支出: 教育支出决算为</w:t>
      </w:r>
      <w:r>
        <w:rPr>
          <w:rFonts w:hint="eastAsia" w:ascii="仿宋" w:hAnsi="仿宋" w:eastAsia="仿宋"/>
          <w:color w:val="000000" w:themeColor="text1"/>
          <w:sz w:val="32"/>
          <w:szCs w:val="32"/>
          <w:lang w:val="en-US" w:eastAsia="zh-CN"/>
          <w14:textFill>
            <w14:solidFill>
              <w14:schemeClr w14:val="tx1"/>
            </w14:solidFill>
          </w14:textFill>
        </w:rPr>
        <w:t>398.34</w:t>
      </w:r>
      <w:r>
        <w:rPr>
          <w:rStyle w:val="14"/>
          <w:rFonts w:hint="eastAsia" w:ascii="仿宋" w:hAnsi="仿宋" w:eastAsia="仿宋"/>
          <w:bCs/>
          <w:color w:val="000000"/>
          <w:sz w:val="32"/>
          <w:szCs w:val="32"/>
        </w:rPr>
        <w:t>万元（其中工资福利支出:</w:t>
      </w:r>
      <w:r>
        <w:rPr>
          <w:rStyle w:val="14"/>
          <w:rFonts w:hint="eastAsia" w:ascii="仿宋" w:hAnsi="仿宋" w:eastAsia="仿宋"/>
          <w:bCs/>
          <w:color w:val="000000"/>
          <w:sz w:val="32"/>
          <w:szCs w:val="32"/>
          <w:lang w:val="en-US" w:eastAsia="zh-CN"/>
        </w:rPr>
        <w:t>285.03</w:t>
      </w:r>
      <w:r>
        <w:rPr>
          <w:rStyle w:val="14"/>
          <w:rFonts w:hint="eastAsia" w:ascii="仿宋" w:hAnsi="仿宋" w:eastAsia="仿宋"/>
          <w:bCs/>
          <w:color w:val="000000"/>
          <w:sz w:val="32"/>
          <w:szCs w:val="32"/>
        </w:rPr>
        <w:t>万元、商品和服务支出：</w:t>
      </w:r>
      <w:r>
        <w:rPr>
          <w:rStyle w:val="14"/>
          <w:rFonts w:hint="eastAsia" w:ascii="仿宋" w:hAnsi="仿宋" w:eastAsia="仿宋"/>
          <w:bCs/>
          <w:color w:val="000000"/>
          <w:sz w:val="32"/>
          <w:szCs w:val="32"/>
          <w:lang w:val="en-US" w:eastAsia="zh-CN"/>
        </w:rPr>
        <w:t>112.9</w:t>
      </w:r>
      <w:r>
        <w:rPr>
          <w:rStyle w:val="14"/>
          <w:rFonts w:hint="eastAsia" w:ascii="仿宋" w:hAnsi="仿宋" w:eastAsia="仿宋"/>
          <w:bCs/>
          <w:color w:val="000000"/>
          <w:sz w:val="32"/>
          <w:szCs w:val="32"/>
        </w:rPr>
        <w:t>万元、对个人和家庭的补助：</w:t>
      </w:r>
      <w:r>
        <w:rPr>
          <w:rStyle w:val="14"/>
          <w:rFonts w:hint="eastAsia" w:ascii="仿宋" w:hAnsi="仿宋" w:eastAsia="仿宋"/>
          <w:bCs/>
          <w:color w:val="000000"/>
          <w:sz w:val="32"/>
          <w:szCs w:val="32"/>
          <w:lang w:val="en-US" w:eastAsia="zh-CN"/>
        </w:rPr>
        <w:t>6.41</w:t>
      </w:r>
      <w:r>
        <w:rPr>
          <w:rStyle w:val="14"/>
          <w:rFonts w:hint="eastAsia" w:ascii="仿宋" w:hAnsi="仿宋" w:eastAsia="仿宋"/>
          <w:bCs/>
          <w:color w:val="000000"/>
          <w:sz w:val="32"/>
          <w:szCs w:val="32"/>
        </w:rPr>
        <w:t>万元），完成预算100%。</w:t>
      </w:r>
    </w:p>
    <w:p>
      <w:pPr>
        <w:spacing w:line="600" w:lineRule="exact"/>
        <w:ind w:firstLine="643" w:firstLineChars="200"/>
        <w:rPr>
          <w:rStyle w:val="14"/>
          <w:rFonts w:hint="eastAsia" w:ascii="仿宋" w:hAnsi="仿宋" w:eastAsia="仿宋"/>
          <w:bCs/>
          <w:color w:val="000000"/>
          <w:sz w:val="32"/>
          <w:szCs w:val="32"/>
        </w:rPr>
      </w:pPr>
      <w:r>
        <w:rPr>
          <w:rStyle w:val="14"/>
          <w:rFonts w:hint="eastAsia" w:ascii="仿宋" w:hAnsi="仿宋" w:eastAsia="仿宋"/>
          <w:bCs/>
          <w:color w:val="000000"/>
          <w:sz w:val="32"/>
          <w:szCs w:val="32"/>
        </w:rPr>
        <w:t>3.科学技术: 支出决算为0万元。</w:t>
      </w:r>
    </w:p>
    <w:p>
      <w:pPr>
        <w:spacing w:line="600" w:lineRule="exact"/>
        <w:ind w:firstLine="643" w:firstLineChars="200"/>
        <w:rPr>
          <w:rStyle w:val="14"/>
          <w:rFonts w:hint="eastAsia" w:ascii="仿宋" w:hAnsi="仿宋" w:eastAsia="仿宋"/>
          <w:bCs/>
          <w:color w:val="000000"/>
          <w:sz w:val="32"/>
          <w:szCs w:val="32"/>
        </w:rPr>
      </w:pPr>
      <w:r>
        <w:rPr>
          <w:rStyle w:val="14"/>
          <w:rFonts w:hint="eastAsia" w:ascii="仿宋" w:hAnsi="仿宋" w:eastAsia="仿宋"/>
          <w:bCs/>
          <w:color w:val="000000"/>
          <w:sz w:val="32"/>
          <w:szCs w:val="32"/>
        </w:rPr>
        <w:t>4.文化体育与传媒: 支出决算为0万元。</w:t>
      </w:r>
    </w:p>
    <w:p>
      <w:pPr>
        <w:spacing w:line="600" w:lineRule="exact"/>
        <w:ind w:firstLine="643" w:firstLineChars="200"/>
        <w:rPr>
          <w:rStyle w:val="14"/>
          <w:rFonts w:hint="eastAsia" w:ascii="仿宋" w:hAnsi="仿宋" w:eastAsia="仿宋"/>
          <w:bCs/>
          <w:color w:val="000000"/>
          <w:sz w:val="32"/>
          <w:szCs w:val="32"/>
        </w:rPr>
      </w:pPr>
      <w:r>
        <w:rPr>
          <w:rStyle w:val="14"/>
          <w:rFonts w:hint="eastAsia" w:ascii="仿宋" w:hAnsi="仿宋" w:eastAsia="仿宋"/>
          <w:bCs/>
          <w:color w:val="000000"/>
          <w:sz w:val="32"/>
          <w:szCs w:val="32"/>
        </w:rPr>
        <w:t>5.社会保障和就业: 支出决算为</w:t>
      </w:r>
      <w:r>
        <w:rPr>
          <w:rFonts w:hint="eastAsia" w:ascii="仿宋" w:hAnsi="仿宋" w:eastAsia="仿宋"/>
          <w:color w:val="000000" w:themeColor="text1"/>
          <w:sz w:val="32"/>
          <w:szCs w:val="32"/>
          <w:lang w:val="en-US" w:eastAsia="zh-CN"/>
          <w14:textFill>
            <w14:solidFill>
              <w14:schemeClr w14:val="tx1"/>
            </w14:solidFill>
          </w14:textFill>
        </w:rPr>
        <w:t>60.67</w:t>
      </w:r>
      <w:r>
        <w:rPr>
          <w:rStyle w:val="14"/>
          <w:rFonts w:hint="eastAsia" w:ascii="仿宋" w:hAnsi="仿宋" w:eastAsia="仿宋"/>
          <w:bCs/>
          <w:color w:val="000000"/>
          <w:sz w:val="32"/>
          <w:szCs w:val="32"/>
        </w:rPr>
        <w:t>万元，完成预算100%。</w:t>
      </w:r>
    </w:p>
    <w:p>
      <w:pPr>
        <w:spacing w:line="600" w:lineRule="exact"/>
        <w:ind w:firstLine="643" w:firstLineChars="200"/>
        <w:rPr>
          <w:rStyle w:val="14"/>
          <w:rFonts w:hint="eastAsia" w:ascii="仿宋" w:hAnsi="仿宋" w:eastAsia="仿宋"/>
          <w:bCs/>
          <w:color w:val="000000"/>
          <w:sz w:val="32"/>
          <w:szCs w:val="32"/>
        </w:rPr>
      </w:pPr>
      <w:r>
        <w:rPr>
          <w:rStyle w:val="14"/>
          <w:rFonts w:hint="eastAsia" w:ascii="仿宋" w:hAnsi="仿宋" w:eastAsia="仿宋"/>
          <w:bCs/>
          <w:color w:val="000000"/>
          <w:sz w:val="32"/>
          <w:szCs w:val="32"/>
        </w:rPr>
        <w:t>6.医疗卫生与计划生育:事业单位医疗支出决算为</w:t>
      </w:r>
      <w:r>
        <w:rPr>
          <w:rFonts w:hint="eastAsia" w:ascii="仿宋" w:hAnsi="仿宋" w:eastAsia="仿宋"/>
          <w:color w:val="000000" w:themeColor="text1"/>
          <w:sz w:val="32"/>
          <w:szCs w:val="32"/>
          <w:lang w:val="en-US" w:eastAsia="zh-CN"/>
          <w14:textFill>
            <w14:solidFill>
              <w14:schemeClr w14:val="tx1"/>
            </w14:solidFill>
          </w14:textFill>
        </w:rPr>
        <w:t>18.18</w:t>
      </w:r>
      <w:r>
        <w:rPr>
          <w:rStyle w:val="14"/>
          <w:rFonts w:hint="eastAsia" w:ascii="仿宋" w:hAnsi="仿宋" w:eastAsia="仿宋"/>
          <w:bCs/>
          <w:color w:val="000000"/>
          <w:sz w:val="32"/>
          <w:szCs w:val="32"/>
        </w:rPr>
        <w:t>万元，完成预算100%。</w:t>
      </w:r>
    </w:p>
    <w:p>
      <w:pPr>
        <w:spacing w:line="600" w:lineRule="exact"/>
        <w:ind w:firstLine="643" w:firstLineChars="200"/>
        <w:rPr>
          <w:rStyle w:val="14"/>
          <w:rFonts w:ascii="仿宋" w:hAnsi="仿宋" w:eastAsia="仿宋"/>
          <w:b/>
          <w:bCs/>
          <w:color w:val="000000"/>
          <w:sz w:val="32"/>
          <w:szCs w:val="32"/>
        </w:rPr>
      </w:pPr>
      <w:r>
        <w:rPr>
          <w:rStyle w:val="14"/>
          <w:rFonts w:hint="eastAsia" w:ascii="仿宋" w:hAnsi="仿宋" w:eastAsia="仿宋"/>
          <w:bCs/>
          <w:color w:val="000000"/>
          <w:sz w:val="32"/>
          <w:szCs w:val="32"/>
        </w:rPr>
        <w:t>7.住房保障支出：住房公积金支出</w:t>
      </w:r>
      <w:r>
        <w:rPr>
          <w:rFonts w:hint="eastAsia" w:ascii="仿宋" w:hAnsi="仿宋" w:eastAsia="仿宋"/>
          <w:color w:val="000000" w:themeColor="text1"/>
          <w:sz w:val="32"/>
          <w:szCs w:val="32"/>
          <w:lang w:val="en-US" w:eastAsia="zh-CN"/>
          <w14:textFill>
            <w14:solidFill>
              <w14:schemeClr w14:val="tx1"/>
            </w14:solidFill>
          </w14:textFill>
        </w:rPr>
        <w:t>33.56</w:t>
      </w:r>
      <w:r>
        <w:rPr>
          <w:rStyle w:val="14"/>
          <w:rFonts w:hint="eastAsia" w:ascii="仿宋" w:hAnsi="仿宋" w:eastAsia="仿宋"/>
          <w:bCs/>
          <w:color w:val="000000"/>
          <w:sz w:val="32"/>
          <w:szCs w:val="32"/>
        </w:rPr>
        <w:t>万元，完成预算100%。</w:t>
      </w:r>
    </w:p>
    <w:p>
      <w:pPr>
        <w:spacing w:line="600" w:lineRule="exact"/>
        <w:ind w:firstLine="640"/>
        <w:rPr>
          <w:rFonts w:ascii="仿宋" w:hAnsi="仿宋" w:eastAsia="仿宋"/>
          <w:b/>
          <w:color w:val="000000"/>
          <w:sz w:val="32"/>
          <w:szCs w:val="32"/>
        </w:rPr>
      </w:pP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35" w:name="_Toc15377214"/>
      <w:bookmarkStart w:id="36"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5"/>
      <w:bookmarkEnd w:id="36"/>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510.74</w:t>
      </w:r>
      <w:r>
        <w:rPr>
          <w:rFonts w:hint="eastAsia" w:ascii="仿宋" w:hAnsi="仿宋" w:eastAsia="仿宋"/>
          <w:color w:val="000000"/>
          <w:sz w:val="32"/>
          <w:szCs w:val="32"/>
        </w:rPr>
        <w:t>万元，其中：</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397.83</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174.44</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4.12</w:t>
      </w:r>
      <w:r>
        <w:rPr>
          <w:rFonts w:hint="eastAsia" w:ascii="仿宋" w:hAnsi="仿宋" w:eastAsia="仿宋"/>
          <w:color w:val="000000"/>
          <w:sz w:val="32"/>
          <w:szCs w:val="32"/>
        </w:rPr>
        <w:t>万元、绩效工资</w:t>
      </w:r>
      <w:r>
        <w:rPr>
          <w:rFonts w:hint="eastAsia" w:ascii="仿宋" w:hAnsi="仿宋" w:eastAsia="仿宋"/>
          <w:color w:val="000000"/>
          <w:sz w:val="32"/>
          <w:szCs w:val="32"/>
          <w:lang w:val="en-US" w:eastAsia="zh-CN"/>
        </w:rPr>
        <w:t>105.2</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55.93</w:t>
      </w:r>
      <w:r>
        <w:rPr>
          <w:rFonts w:hint="eastAsia" w:ascii="仿宋" w:hAnsi="仿宋" w:eastAsia="仿宋"/>
          <w:color w:val="000000"/>
          <w:sz w:val="32"/>
          <w:szCs w:val="32"/>
        </w:rPr>
        <w:t>万元、职工基本医疗保险缴费</w:t>
      </w:r>
      <w:r>
        <w:rPr>
          <w:rFonts w:hint="eastAsia" w:ascii="仿宋" w:hAnsi="仿宋" w:eastAsia="仿宋"/>
          <w:color w:val="000000"/>
          <w:sz w:val="32"/>
          <w:szCs w:val="32"/>
          <w:lang w:val="en-US" w:eastAsia="zh-CN"/>
        </w:rPr>
        <w:t>18.18</w:t>
      </w:r>
      <w:r>
        <w:rPr>
          <w:rFonts w:hint="eastAsia" w:ascii="仿宋" w:hAnsi="仿宋" w:eastAsia="仿宋"/>
          <w:color w:val="000000"/>
          <w:sz w:val="32"/>
          <w:szCs w:val="32"/>
        </w:rPr>
        <w:t>万元，其他社会保障缴费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万元、其他工资福利支出0万元、住房公积金</w:t>
      </w:r>
      <w:r>
        <w:rPr>
          <w:rFonts w:hint="eastAsia" w:ascii="仿宋" w:hAnsi="仿宋" w:eastAsia="仿宋"/>
          <w:color w:val="000000"/>
          <w:sz w:val="32"/>
          <w:szCs w:val="32"/>
          <w:lang w:val="en-US" w:eastAsia="zh-CN"/>
        </w:rPr>
        <w:t>33.56</w:t>
      </w:r>
      <w:r>
        <w:rPr>
          <w:rFonts w:hint="eastAsia" w:ascii="仿宋" w:hAnsi="仿宋" w:eastAsia="仿宋"/>
          <w:color w:val="000000"/>
          <w:sz w:val="32"/>
          <w:szCs w:val="32"/>
        </w:rPr>
        <w:t>万元、对个人和家庭的补助支出</w:t>
      </w:r>
      <w:r>
        <w:rPr>
          <w:rFonts w:hint="eastAsia" w:ascii="仿宋" w:hAnsi="仿宋" w:eastAsia="仿宋"/>
          <w:color w:val="000000"/>
          <w:sz w:val="32"/>
          <w:szCs w:val="32"/>
          <w:lang w:val="en-US" w:eastAsia="zh-CN"/>
        </w:rPr>
        <w:t>6.41</w:t>
      </w:r>
      <w:r>
        <w:rPr>
          <w:rFonts w:hint="eastAsia" w:ascii="仿宋" w:hAnsi="仿宋" w:eastAsia="仿宋"/>
          <w:color w:val="000000"/>
          <w:sz w:val="32"/>
          <w:szCs w:val="32"/>
        </w:rPr>
        <w:t>万元等。</w:t>
      </w:r>
    </w:p>
    <w:p>
      <w:pPr>
        <w:spacing w:line="600" w:lineRule="exact"/>
        <w:ind w:firstLine="640"/>
        <w:outlineLvl w:val="1"/>
        <w:rPr>
          <w:rFonts w:hint="eastAsia" w:ascii="仿宋" w:hAnsi="仿宋" w:eastAsia="仿宋"/>
          <w:color w:val="000000"/>
          <w:sz w:val="32"/>
          <w:szCs w:val="32"/>
        </w:rPr>
      </w:pPr>
      <w:r>
        <w:rPr>
          <w:rFonts w:hint="eastAsia" w:ascii="仿宋" w:hAnsi="仿宋" w:eastAsia="仿宋"/>
          <w:color w:val="000000"/>
          <w:sz w:val="32"/>
          <w:szCs w:val="32"/>
        </w:rPr>
        <w:t>公用经费</w:t>
      </w:r>
      <w:r>
        <w:rPr>
          <w:rFonts w:hint="eastAsia" w:ascii="仿宋" w:hAnsi="仿宋" w:eastAsia="仿宋"/>
          <w:color w:val="000000"/>
          <w:sz w:val="32"/>
          <w:szCs w:val="32"/>
          <w:lang w:val="en-US" w:eastAsia="zh-CN"/>
        </w:rPr>
        <w:t>112.9</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27.96</w:t>
      </w:r>
      <w:r>
        <w:rPr>
          <w:rFonts w:hint="eastAsia" w:ascii="仿宋" w:hAnsi="仿宋" w:eastAsia="仿宋"/>
          <w:color w:val="000000"/>
          <w:sz w:val="32"/>
          <w:szCs w:val="32"/>
        </w:rPr>
        <w:t>万元、印刷费</w:t>
      </w:r>
      <w:r>
        <w:rPr>
          <w:rFonts w:hint="eastAsia" w:ascii="仿宋" w:hAnsi="仿宋" w:eastAsia="仿宋"/>
          <w:color w:val="000000"/>
          <w:sz w:val="32"/>
          <w:szCs w:val="32"/>
          <w:lang w:val="en-US" w:eastAsia="zh-CN"/>
        </w:rPr>
        <w:t>3.83</w:t>
      </w:r>
      <w:r>
        <w:rPr>
          <w:rFonts w:hint="eastAsia" w:ascii="仿宋" w:hAnsi="仿宋" w:eastAsia="仿宋"/>
          <w:color w:val="000000"/>
          <w:sz w:val="32"/>
          <w:szCs w:val="32"/>
        </w:rPr>
        <w:t>万元、手续费0万元、水费</w:t>
      </w:r>
      <w:r>
        <w:rPr>
          <w:rFonts w:hint="eastAsia" w:ascii="仿宋" w:hAnsi="仿宋" w:eastAsia="仿宋"/>
          <w:color w:val="000000"/>
          <w:sz w:val="32"/>
          <w:szCs w:val="32"/>
          <w:lang w:val="en-US" w:eastAsia="zh-CN"/>
        </w:rPr>
        <w:t>1.28</w:t>
      </w:r>
      <w:r>
        <w:rPr>
          <w:rFonts w:hint="eastAsia" w:ascii="仿宋" w:hAnsi="仿宋" w:eastAsia="仿宋"/>
          <w:color w:val="000000"/>
          <w:sz w:val="32"/>
          <w:szCs w:val="32"/>
        </w:rPr>
        <w:t>万元、电费</w:t>
      </w:r>
      <w:r>
        <w:rPr>
          <w:rFonts w:hint="eastAsia" w:ascii="仿宋" w:hAnsi="仿宋" w:eastAsia="仿宋"/>
          <w:color w:val="000000"/>
          <w:sz w:val="32"/>
          <w:szCs w:val="32"/>
          <w:lang w:val="en-US" w:eastAsia="zh-CN"/>
        </w:rPr>
        <w:t>1.06</w:t>
      </w:r>
      <w:r>
        <w:rPr>
          <w:rFonts w:hint="eastAsia" w:ascii="仿宋" w:hAnsi="仿宋" w:eastAsia="仿宋"/>
          <w:color w:val="000000"/>
          <w:sz w:val="32"/>
          <w:szCs w:val="32"/>
        </w:rPr>
        <w:t>万元、邮电费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万元、物业管理费</w:t>
      </w:r>
      <w:r>
        <w:rPr>
          <w:rFonts w:hint="eastAsia" w:ascii="仿宋" w:hAnsi="仿宋" w:eastAsia="仿宋"/>
          <w:color w:val="000000"/>
          <w:sz w:val="32"/>
          <w:szCs w:val="32"/>
          <w:lang w:val="en-US" w:eastAsia="zh-CN"/>
        </w:rPr>
        <w:t>3.08</w:t>
      </w:r>
      <w:r>
        <w:rPr>
          <w:rFonts w:hint="eastAsia" w:ascii="仿宋" w:hAnsi="仿宋" w:eastAsia="仿宋"/>
          <w:color w:val="000000"/>
          <w:sz w:val="32"/>
          <w:szCs w:val="32"/>
        </w:rPr>
        <w:t>万元、差旅费</w:t>
      </w:r>
      <w:r>
        <w:rPr>
          <w:rFonts w:hint="eastAsia" w:ascii="仿宋" w:hAnsi="仿宋" w:eastAsia="仿宋"/>
          <w:color w:val="000000"/>
          <w:sz w:val="32"/>
          <w:szCs w:val="32"/>
          <w:lang w:val="en-US" w:eastAsia="zh-CN"/>
        </w:rPr>
        <w:t>2.3</w:t>
      </w:r>
      <w:r>
        <w:rPr>
          <w:rFonts w:hint="eastAsia" w:ascii="仿宋" w:hAnsi="仿宋" w:eastAsia="仿宋"/>
          <w:color w:val="000000"/>
          <w:sz w:val="32"/>
          <w:szCs w:val="32"/>
        </w:rPr>
        <w:t>万元、维修（护）费</w:t>
      </w:r>
      <w:r>
        <w:rPr>
          <w:rFonts w:hint="eastAsia" w:ascii="仿宋" w:hAnsi="仿宋" w:eastAsia="仿宋"/>
          <w:color w:val="000000"/>
          <w:sz w:val="32"/>
          <w:szCs w:val="32"/>
          <w:lang w:val="en-US" w:eastAsia="zh-CN"/>
        </w:rPr>
        <w:t>15.14</w:t>
      </w:r>
      <w:r>
        <w:rPr>
          <w:rFonts w:hint="eastAsia" w:ascii="仿宋" w:hAnsi="仿宋" w:eastAsia="仿宋"/>
          <w:color w:val="000000"/>
          <w:sz w:val="32"/>
          <w:szCs w:val="32"/>
        </w:rPr>
        <w:t>万元、培训费</w:t>
      </w:r>
      <w:r>
        <w:rPr>
          <w:rFonts w:hint="eastAsia" w:ascii="仿宋" w:hAnsi="仿宋" w:eastAsia="仿宋"/>
          <w:color w:val="000000"/>
          <w:sz w:val="32"/>
          <w:szCs w:val="32"/>
          <w:lang w:val="en-US" w:eastAsia="zh-CN"/>
        </w:rPr>
        <w:t>3.15</w:t>
      </w:r>
      <w:r>
        <w:rPr>
          <w:rFonts w:hint="eastAsia" w:ascii="仿宋" w:hAnsi="仿宋" w:eastAsia="仿宋"/>
          <w:color w:val="000000"/>
          <w:sz w:val="32"/>
          <w:szCs w:val="32"/>
        </w:rPr>
        <w:t>万元、公务接待费</w:t>
      </w:r>
      <w:r>
        <w:rPr>
          <w:rFonts w:hint="eastAsia" w:ascii="仿宋" w:hAnsi="仿宋" w:eastAsia="仿宋"/>
          <w:color w:val="000000"/>
          <w:sz w:val="32"/>
          <w:szCs w:val="32"/>
          <w:lang w:val="en-US" w:eastAsia="zh-CN"/>
        </w:rPr>
        <w:t>0.47</w:t>
      </w:r>
      <w:r>
        <w:rPr>
          <w:rFonts w:hint="eastAsia" w:ascii="仿宋" w:hAnsi="仿宋" w:eastAsia="仿宋"/>
          <w:color w:val="000000"/>
          <w:sz w:val="32"/>
          <w:szCs w:val="32"/>
        </w:rPr>
        <w:t>万元、会议费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万元、专用材料费</w:t>
      </w:r>
      <w:r>
        <w:rPr>
          <w:rFonts w:hint="eastAsia" w:ascii="仿宋" w:hAnsi="仿宋" w:eastAsia="仿宋"/>
          <w:color w:val="000000"/>
          <w:sz w:val="32"/>
          <w:szCs w:val="32"/>
          <w:lang w:val="en-US" w:eastAsia="zh-CN"/>
        </w:rPr>
        <w:t>5.39</w:t>
      </w:r>
      <w:r>
        <w:rPr>
          <w:rFonts w:hint="eastAsia" w:ascii="仿宋" w:hAnsi="仿宋" w:eastAsia="仿宋"/>
          <w:color w:val="000000"/>
          <w:sz w:val="32"/>
          <w:szCs w:val="32"/>
        </w:rPr>
        <w:t>万元、劳务费</w:t>
      </w:r>
      <w:r>
        <w:rPr>
          <w:rFonts w:hint="eastAsia" w:ascii="仿宋" w:hAnsi="仿宋" w:eastAsia="仿宋"/>
          <w:color w:val="000000"/>
          <w:sz w:val="32"/>
          <w:szCs w:val="32"/>
          <w:lang w:val="en-US" w:eastAsia="zh-CN"/>
        </w:rPr>
        <w:t>19.52</w:t>
      </w:r>
      <w:r>
        <w:rPr>
          <w:rFonts w:hint="eastAsia" w:ascii="仿宋" w:hAnsi="仿宋" w:eastAsia="仿宋"/>
          <w:color w:val="000000"/>
          <w:sz w:val="32"/>
          <w:szCs w:val="32"/>
        </w:rPr>
        <w:t>万元、工会经费</w:t>
      </w:r>
      <w:r>
        <w:rPr>
          <w:rFonts w:hint="eastAsia" w:ascii="仿宋" w:hAnsi="仿宋" w:eastAsia="仿宋"/>
          <w:color w:val="000000"/>
          <w:sz w:val="32"/>
          <w:szCs w:val="32"/>
          <w:lang w:val="en-US" w:eastAsia="zh-CN"/>
        </w:rPr>
        <w:t>6.24</w:t>
      </w:r>
      <w:r>
        <w:rPr>
          <w:rFonts w:hint="eastAsia" w:ascii="仿宋" w:hAnsi="仿宋" w:eastAsia="仿宋"/>
          <w:color w:val="000000"/>
          <w:sz w:val="32"/>
          <w:szCs w:val="32"/>
        </w:rPr>
        <w:t>万元、福利费</w:t>
      </w:r>
      <w:r>
        <w:rPr>
          <w:rFonts w:hint="eastAsia" w:ascii="仿宋" w:hAnsi="仿宋" w:eastAsia="仿宋"/>
          <w:color w:val="000000"/>
          <w:sz w:val="32"/>
          <w:szCs w:val="32"/>
          <w:lang w:val="en-US" w:eastAsia="zh-CN"/>
        </w:rPr>
        <w:t>2.13</w:t>
      </w:r>
      <w:r>
        <w:rPr>
          <w:rFonts w:hint="eastAsia" w:ascii="仿宋" w:hAnsi="仿宋" w:eastAsia="仿宋"/>
          <w:color w:val="000000"/>
          <w:sz w:val="32"/>
          <w:szCs w:val="32"/>
        </w:rPr>
        <w:t>万元、其他商品和服务支出</w:t>
      </w:r>
      <w:r>
        <w:rPr>
          <w:rFonts w:hint="eastAsia" w:ascii="仿宋" w:hAnsi="仿宋" w:eastAsia="仿宋"/>
          <w:color w:val="000000"/>
          <w:sz w:val="32"/>
          <w:szCs w:val="32"/>
          <w:lang w:val="en-US" w:eastAsia="zh-CN"/>
        </w:rPr>
        <w:t>13.52</w:t>
      </w:r>
      <w:r>
        <w:rPr>
          <w:rFonts w:hint="eastAsia" w:ascii="仿宋" w:hAnsi="仿宋" w:eastAsia="仿宋"/>
          <w:color w:val="000000"/>
          <w:sz w:val="32"/>
          <w:szCs w:val="32"/>
        </w:rPr>
        <w:t>万元。</w:t>
      </w:r>
      <w:bookmarkStart w:id="37" w:name="_Toc15377215"/>
      <w:bookmarkStart w:id="38" w:name="_Toc15396609"/>
    </w:p>
    <w:p>
      <w:pPr>
        <w:spacing w:line="600" w:lineRule="exact"/>
        <w:ind w:firstLine="640"/>
        <w:outlineLvl w:val="1"/>
        <w:rPr>
          <w:rStyle w:val="25"/>
          <w:rFonts w:ascii="黑体" w:hAnsi="黑体" w:eastAsia="黑体"/>
          <w:b w:val="0"/>
        </w:rPr>
      </w:pPr>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7"/>
      <w:bookmarkEnd w:id="38"/>
    </w:p>
    <w:p>
      <w:pPr>
        <w:spacing w:line="600" w:lineRule="exact"/>
        <w:ind w:firstLine="640"/>
        <w:outlineLvl w:val="2"/>
        <w:rPr>
          <w:rFonts w:ascii="仿宋" w:hAnsi="仿宋" w:eastAsia="仿宋"/>
          <w:b/>
          <w:color w:val="000000"/>
          <w:sz w:val="32"/>
          <w:szCs w:val="32"/>
        </w:rPr>
      </w:pPr>
      <w:bookmarkStart w:id="39" w:name="_Toc15377216"/>
      <w:r>
        <w:rPr>
          <w:rFonts w:hint="eastAsia" w:ascii="仿宋" w:hAnsi="仿宋" w:eastAsia="仿宋"/>
          <w:b/>
          <w:color w:val="000000"/>
          <w:sz w:val="32"/>
          <w:szCs w:val="32"/>
        </w:rPr>
        <w:t>（一）“三公”经费财政拨款支出决算总体情况说明</w:t>
      </w:r>
      <w:bookmarkEnd w:id="39"/>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2018年度“三公”经费财政拨款支出决算为</w:t>
      </w:r>
      <w:r>
        <w:rPr>
          <w:rFonts w:hint="eastAsia" w:ascii="仿宋" w:hAnsi="仿宋" w:eastAsia="仿宋"/>
          <w:color w:val="000000"/>
          <w:sz w:val="32"/>
          <w:szCs w:val="32"/>
          <w:lang w:val="en-US" w:eastAsia="zh-CN"/>
        </w:rPr>
        <w:t>0.47</w:t>
      </w:r>
      <w:r>
        <w:rPr>
          <w:rFonts w:hint="eastAsia" w:ascii="仿宋" w:hAnsi="仿宋" w:eastAsia="仿宋"/>
          <w:color w:val="000000"/>
          <w:sz w:val="32"/>
          <w:szCs w:val="32"/>
        </w:rPr>
        <w:t>万元，完成预算100%。</w:t>
      </w:r>
    </w:p>
    <w:p>
      <w:pPr>
        <w:spacing w:line="600" w:lineRule="exact"/>
        <w:ind w:firstLine="640"/>
        <w:outlineLvl w:val="2"/>
        <w:rPr>
          <w:rFonts w:ascii="仿宋" w:hAnsi="仿宋" w:eastAsia="仿宋"/>
          <w:b/>
          <w:color w:val="000000"/>
          <w:sz w:val="32"/>
          <w:szCs w:val="32"/>
        </w:rPr>
      </w:pPr>
      <w:bookmarkStart w:id="40" w:name="_Toc15377217"/>
      <w:r>
        <w:rPr>
          <w:rFonts w:hint="eastAsia" w:ascii="仿宋" w:hAnsi="仿宋" w:eastAsia="仿宋"/>
          <w:b/>
          <w:color w:val="000000"/>
          <w:sz w:val="32"/>
          <w:szCs w:val="32"/>
        </w:rPr>
        <w:t>（二）“三公”经费财政拨款支出决算具体情况说明</w:t>
      </w:r>
      <w:bookmarkEnd w:id="40"/>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2018年度“三公”经费财政拨款支出决算中，因公出国（境）费支出决算0万元；公务用车购置及运行维护费支出决算0万元；公务接待费支出决算</w:t>
      </w:r>
      <w:r>
        <w:rPr>
          <w:rFonts w:hint="eastAsia" w:ascii="仿宋" w:hAnsi="仿宋" w:eastAsia="仿宋"/>
          <w:color w:val="000000"/>
          <w:sz w:val="32"/>
          <w:szCs w:val="32"/>
          <w:lang w:val="en-US" w:eastAsia="zh-CN"/>
        </w:rPr>
        <w:t>0.47</w:t>
      </w:r>
      <w:r>
        <w:rPr>
          <w:rFonts w:hint="eastAsia" w:ascii="仿宋" w:hAnsi="仿宋" w:eastAsia="仿宋"/>
          <w:color w:val="000000"/>
          <w:sz w:val="32"/>
          <w:szCs w:val="32"/>
        </w:rPr>
        <w:t>万元，占100%。具体情况如下：</w:t>
      </w:r>
    </w:p>
    <w:p>
      <w:pPr>
        <w:spacing w:line="600" w:lineRule="exact"/>
        <w:ind w:firstLine="640"/>
        <w:rPr>
          <w:rFonts w:hint="eastAsia" w:ascii="仿宋" w:hAnsi="仿宋" w:eastAsia="仿宋"/>
          <w:color w:val="000000"/>
          <w:sz w:val="32"/>
          <w:szCs w:val="32"/>
        </w:rPr>
      </w:pPr>
      <w:r>
        <w:drawing>
          <wp:anchor distT="0" distB="0" distL="114935" distR="114935" simplePos="0" relativeHeight="251662336" behindDoc="0" locked="0" layoutInCell="1" allowOverlap="1">
            <wp:simplePos x="0" y="0"/>
            <wp:positionH relativeFrom="column">
              <wp:posOffset>302260</wp:posOffset>
            </wp:positionH>
            <wp:positionV relativeFrom="paragraph">
              <wp:posOffset>130810</wp:posOffset>
            </wp:positionV>
            <wp:extent cx="4596130" cy="2761615"/>
            <wp:effectExtent l="0" t="0" r="13970" b="635"/>
            <wp:wrapNone/>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9"/>
                    <a:stretch>
                      <a:fillRect/>
                    </a:stretch>
                  </pic:blipFill>
                  <pic:spPr>
                    <a:xfrm>
                      <a:off x="0" y="0"/>
                      <a:ext cx="4596130" cy="2761615"/>
                    </a:xfrm>
                    <a:prstGeom prst="rect">
                      <a:avLst/>
                    </a:prstGeom>
                    <a:noFill/>
                    <a:ln>
                      <a:noFill/>
                    </a:ln>
                  </pic:spPr>
                </pic:pic>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图8：“三公”经费财政拨款支出结构</w:t>
      </w:r>
    </w:p>
    <w:p>
      <w:pPr>
        <w:spacing w:line="600" w:lineRule="exact"/>
        <w:ind w:firstLine="640"/>
        <w:rPr>
          <w:rFonts w:ascii="仿宋_GB2312" w:eastAsia="仿宋_GB2312"/>
          <w:b w:val="0"/>
          <w:bCs/>
          <w:color w:val="000000"/>
          <w:sz w:val="32"/>
          <w:szCs w:val="32"/>
        </w:rPr>
      </w:pPr>
      <w:r>
        <w:rPr>
          <w:rFonts w:ascii="仿宋_GB2312" w:eastAsia="仿宋_GB2312"/>
          <w:b w:val="0"/>
          <w:bCs/>
          <w:color w:val="000000"/>
          <w:sz w:val="32"/>
          <w:szCs w:val="32"/>
        </w:rPr>
        <w:t>1.</w:t>
      </w:r>
      <w:r>
        <w:rPr>
          <w:rFonts w:hint="eastAsia" w:ascii="仿宋_GB2312" w:eastAsia="仿宋_GB2312"/>
          <w:b w:val="0"/>
          <w:bCs/>
          <w:color w:val="000000"/>
          <w:sz w:val="32"/>
          <w:szCs w:val="32"/>
        </w:rPr>
        <w:t>因公出国（境）经费支出</w:t>
      </w:r>
      <w:r>
        <w:rPr>
          <w:rFonts w:hint="eastAsia" w:ascii="仿宋_GB2312" w:eastAsia="仿宋_GB2312"/>
          <w:b w:val="0"/>
          <w:bCs/>
          <w:color w:val="000000"/>
          <w:sz w:val="32"/>
          <w:szCs w:val="32"/>
          <w:lang w:val="en-US" w:eastAsia="zh-CN"/>
        </w:rPr>
        <w:t>0</w:t>
      </w:r>
      <w:r>
        <w:rPr>
          <w:rFonts w:hint="eastAsia" w:ascii="仿宋_GB2312" w:eastAsia="仿宋_GB2312"/>
          <w:b w:val="0"/>
          <w:bCs/>
          <w:color w:val="000000"/>
          <w:sz w:val="32"/>
          <w:szCs w:val="32"/>
        </w:rPr>
        <w:t>万元。</w:t>
      </w:r>
    </w:p>
    <w:p>
      <w:pPr>
        <w:spacing w:line="600" w:lineRule="exact"/>
        <w:ind w:firstLine="640"/>
        <w:rPr>
          <w:rFonts w:ascii="仿宋_GB2312" w:eastAsia="仿宋_GB2312"/>
          <w:b w:val="0"/>
          <w:bCs/>
          <w:color w:val="000000"/>
          <w:sz w:val="32"/>
          <w:szCs w:val="32"/>
        </w:rPr>
      </w:pPr>
      <w:r>
        <w:rPr>
          <w:rFonts w:ascii="仿宋_GB2312" w:eastAsia="仿宋_GB2312"/>
          <w:b w:val="0"/>
          <w:bCs/>
          <w:color w:val="000000"/>
          <w:sz w:val="32"/>
          <w:szCs w:val="32"/>
        </w:rPr>
        <w:t>2.</w:t>
      </w:r>
      <w:r>
        <w:rPr>
          <w:rFonts w:hint="eastAsia" w:ascii="仿宋_GB2312" w:eastAsia="仿宋_GB2312"/>
          <w:b w:val="0"/>
          <w:bCs/>
          <w:color w:val="000000"/>
          <w:sz w:val="32"/>
          <w:szCs w:val="32"/>
        </w:rPr>
        <w:t>公务用车购置及运行维护费支出</w:t>
      </w:r>
      <w:r>
        <w:rPr>
          <w:rFonts w:hint="eastAsia" w:ascii="仿宋_GB2312" w:eastAsia="仿宋_GB2312"/>
          <w:b w:val="0"/>
          <w:bCs/>
          <w:color w:val="000000"/>
          <w:sz w:val="32"/>
          <w:szCs w:val="32"/>
          <w:lang w:val="en-US" w:eastAsia="zh-CN"/>
        </w:rPr>
        <w:t>0</w:t>
      </w:r>
      <w:r>
        <w:rPr>
          <w:rFonts w:hint="eastAsia" w:ascii="仿宋_GB2312" w:eastAsia="仿宋_GB2312"/>
          <w:b w:val="0"/>
          <w:bCs/>
          <w:color w:val="000000"/>
          <w:sz w:val="32"/>
          <w:szCs w:val="32"/>
        </w:rPr>
        <w:t>万元</w:t>
      </w:r>
    </w:p>
    <w:p>
      <w:pPr>
        <w:spacing w:line="600" w:lineRule="exact"/>
        <w:ind w:firstLine="640"/>
        <w:rPr>
          <w:rFonts w:ascii="仿宋_GB2312" w:eastAsia="仿宋_GB2312"/>
          <w:b w:val="0"/>
          <w:bCs/>
          <w:color w:val="000000"/>
          <w:sz w:val="32"/>
          <w:szCs w:val="32"/>
        </w:rPr>
      </w:pPr>
      <w:r>
        <w:rPr>
          <w:rFonts w:ascii="仿宋_GB2312" w:eastAsia="仿宋_GB2312"/>
          <w:b w:val="0"/>
          <w:bCs/>
          <w:color w:val="000000"/>
          <w:sz w:val="32"/>
          <w:szCs w:val="32"/>
        </w:rPr>
        <w:t>3.</w:t>
      </w:r>
      <w:r>
        <w:rPr>
          <w:rFonts w:hint="eastAsia" w:ascii="仿宋_GB2312" w:eastAsia="仿宋_GB2312"/>
          <w:b w:val="0"/>
          <w:bCs/>
          <w:color w:val="000000"/>
          <w:sz w:val="32"/>
          <w:szCs w:val="32"/>
        </w:rPr>
        <w:t>公务接待费支出</w:t>
      </w:r>
      <w:r>
        <w:rPr>
          <w:rFonts w:hint="eastAsia" w:ascii="仿宋_GB2312" w:eastAsia="仿宋_GB2312"/>
          <w:b w:val="0"/>
          <w:bCs/>
          <w:color w:val="000000"/>
          <w:sz w:val="32"/>
          <w:szCs w:val="32"/>
          <w:lang w:val="en-US" w:eastAsia="zh-CN"/>
        </w:rPr>
        <w:t>0.47</w:t>
      </w:r>
      <w:r>
        <w:rPr>
          <w:rFonts w:hint="eastAsia" w:ascii="仿宋_GB2312" w:eastAsia="仿宋_GB2312"/>
          <w:b w:val="0"/>
          <w:bCs/>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outlineLvl w:val="1"/>
        <w:rPr>
          <w:rFonts w:hint="eastAsia" w:ascii="黑体" w:eastAsia="黑体"/>
          <w:color w:val="000000"/>
          <w:sz w:val="32"/>
          <w:szCs w:val="32"/>
        </w:rPr>
      </w:pPr>
      <w:bookmarkStart w:id="41" w:name="_Toc15396610"/>
      <w:bookmarkStart w:id="42"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1"/>
      <w:bookmarkEnd w:id="4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43" w:name="_Toc15377219"/>
      <w:bookmarkStart w:id="44" w:name="_Toc15396611"/>
      <w:r>
        <w:rPr>
          <w:rStyle w:val="25"/>
          <w:rFonts w:hint="eastAsia" w:ascii="黑体" w:hAnsi="黑体" w:eastAsia="黑体"/>
          <w:b w:val="0"/>
        </w:rPr>
        <w:t>国有资本经营预算支出决算情况说明</w:t>
      </w:r>
      <w:bookmarkEnd w:id="43"/>
      <w:bookmarkEnd w:id="4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十、其他重要事项的情况说明</w:t>
      </w:r>
    </w:p>
    <w:p>
      <w:pPr>
        <w:autoSpaceDE w:val="0"/>
        <w:autoSpaceDN w:val="0"/>
        <w:adjustRightInd w:val="0"/>
        <w:spacing w:line="600" w:lineRule="exact"/>
        <w:ind w:firstLine="562" w:firstLineChars="200"/>
        <w:jc w:val="left"/>
        <w:rPr>
          <w:rFonts w:hint="eastAsia" w:ascii="黑体" w:hAnsi="黑体" w:eastAsia="黑体" w:cs="黑体"/>
          <w:b/>
          <w:color w:val="000000"/>
          <w:sz w:val="28"/>
          <w:szCs w:val="28"/>
        </w:rPr>
      </w:pPr>
      <w:r>
        <w:rPr>
          <w:rFonts w:hint="eastAsia" w:ascii="黑体" w:hAnsi="黑体" w:eastAsia="黑体" w:cs="黑体"/>
          <w:b/>
          <w:color w:val="000000"/>
          <w:sz w:val="28"/>
          <w:szCs w:val="28"/>
        </w:rPr>
        <w:t>（</w:t>
      </w:r>
      <w:r>
        <w:rPr>
          <w:rFonts w:hint="eastAsia" w:ascii="黑体" w:hAnsi="黑体" w:eastAsia="黑体" w:cs="黑体"/>
          <w:b/>
          <w:color w:val="000000"/>
          <w:sz w:val="28"/>
          <w:szCs w:val="28"/>
          <w:lang w:eastAsia="zh-CN"/>
        </w:rPr>
        <w:t>一</w:t>
      </w:r>
      <w:r>
        <w:rPr>
          <w:rFonts w:hint="eastAsia" w:ascii="黑体" w:hAnsi="黑体" w:eastAsia="黑体" w:cs="黑体"/>
          <w:b/>
          <w:color w:val="000000"/>
          <w:sz w:val="28"/>
          <w:szCs w:val="28"/>
        </w:rPr>
        <w:t>）政府采购支出情况</w:t>
      </w:r>
    </w:p>
    <w:p>
      <w:pPr>
        <w:spacing w:line="6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年度，</w:t>
      </w:r>
      <w:r>
        <w:rPr>
          <w:rFonts w:hint="eastAsia" w:ascii="宋体" w:hAnsi="宋体" w:eastAsia="宋体" w:cs="宋体"/>
          <w:color w:val="000000"/>
          <w:sz w:val="28"/>
          <w:szCs w:val="28"/>
          <w:lang w:eastAsia="zh-CN"/>
        </w:rPr>
        <w:t>开江县</w:t>
      </w:r>
      <w:r>
        <w:rPr>
          <w:rFonts w:hint="eastAsia" w:ascii="宋体" w:hAnsi="宋体" w:cs="宋体"/>
          <w:color w:val="000000"/>
          <w:sz w:val="28"/>
          <w:szCs w:val="28"/>
          <w:lang w:eastAsia="zh-CN"/>
        </w:rPr>
        <w:t>新宁镇第三小学</w:t>
      </w:r>
      <w:r>
        <w:rPr>
          <w:rFonts w:hint="eastAsia" w:ascii="宋体" w:hAnsi="宋体" w:eastAsia="宋体" w:cs="宋体"/>
          <w:color w:val="000000"/>
          <w:sz w:val="28"/>
          <w:szCs w:val="28"/>
        </w:rPr>
        <w:t>政府采购支出总额</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万元，其中：政府采购货物支出</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万元、政府采购工程支出</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万元、政府采购服务支出</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万元。</w:t>
      </w:r>
    </w:p>
    <w:p>
      <w:pPr>
        <w:autoSpaceDE w:val="0"/>
        <w:autoSpaceDN w:val="0"/>
        <w:adjustRightInd w:val="0"/>
        <w:spacing w:line="600" w:lineRule="exact"/>
        <w:ind w:firstLine="562" w:firstLineChars="200"/>
        <w:jc w:val="left"/>
        <w:rPr>
          <w:rFonts w:hint="eastAsia" w:ascii="黑体" w:hAnsi="黑体" w:eastAsia="黑体" w:cs="黑体"/>
          <w:b/>
          <w:color w:val="000000"/>
          <w:sz w:val="28"/>
          <w:szCs w:val="28"/>
        </w:rPr>
      </w:pPr>
      <w:r>
        <w:rPr>
          <w:rFonts w:hint="eastAsia" w:ascii="黑体" w:hAnsi="黑体" w:eastAsia="黑体" w:cs="黑体"/>
          <w:b/>
          <w:color w:val="000000"/>
          <w:sz w:val="28"/>
          <w:szCs w:val="28"/>
        </w:rPr>
        <w:t>（</w:t>
      </w:r>
      <w:r>
        <w:rPr>
          <w:rFonts w:hint="eastAsia" w:ascii="黑体" w:hAnsi="黑体" w:eastAsia="黑体" w:cs="黑体"/>
          <w:b/>
          <w:color w:val="000000"/>
          <w:sz w:val="28"/>
          <w:szCs w:val="28"/>
          <w:lang w:eastAsia="zh-CN"/>
        </w:rPr>
        <w:t>二</w:t>
      </w:r>
      <w:r>
        <w:rPr>
          <w:rFonts w:hint="eastAsia" w:ascii="黑体" w:hAnsi="黑体" w:eastAsia="黑体" w:cs="黑体"/>
          <w:b/>
          <w:color w:val="000000"/>
          <w:sz w:val="28"/>
          <w:szCs w:val="28"/>
        </w:rPr>
        <w:t>）国有资产占有使用情况</w:t>
      </w:r>
    </w:p>
    <w:p>
      <w:pPr>
        <w:autoSpaceDE w:val="0"/>
        <w:autoSpaceDN w:val="0"/>
        <w:adjustRightInd w:val="0"/>
        <w:spacing w:line="60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截至201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年12月31日，</w:t>
      </w:r>
      <w:r>
        <w:rPr>
          <w:rFonts w:hint="eastAsia" w:ascii="宋体" w:hAnsi="宋体" w:eastAsia="宋体" w:cs="宋体"/>
          <w:color w:val="000000"/>
          <w:sz w:val="28"/>
          <w:szCs w:val="28"/>
          <w:lang w:eastAsia="zh-CN"/>
        </w:rPr>
        <w:t>开江县</w:t>
      </w:r>
      <w:r>
        <w:rPr>
          <w:rFonts w:hint="eastAsia" w:ascii="宋体" w:hAnsi="宋体" w:cs="宋体"/>
          <w:color w:val="000000"/>
          <w:sz w:val="28"/>
          <w:szCs w:val="28"/>
          <w:lang w:eastAsia="zh-CN"/>
        </w:rPr>
        <w:t>新宁镇第三小学</w:t>
      </w:r>
      <w:r>
        <w:rPr>
          <w:rFonts w:hint="eastAsia" w:ascii="宋体" w:hAnsi="宋体" w:eastAsia="宋体" w:cs="宋体"/>
          <w:color w:val="000000"/>
          <w:sz w:val="28"/>
          <w:szCs w:val="28"/>
        </w:rPr>
        <w:t>共有车辆</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辆，其中：部级领导干部用车</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辆、一般公务用车</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辆、一般执法执勤用车</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辆、特种专业技术用车</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辆、其他用车</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辆；单价50万元以上通用设备</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台（套），单价100万元以上专用设备</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台（套）。</w:t>
      </w:r>
    </w:p>
    <w:p>
      <w:pPr>
        <w:autoSpaceDE w:val="0"/>
        <w:autoSpaceDN w:val="0"/>
        <w:adjustRightInd w:val="0"/>
        <w:spacing w:line="600" w:lineRule="exact"/>
        <w:ind w:firstLine="562" w:firstLineChars="200"/>
        <w:jc w:val="left"/>
        <w:rPr>
          <w:rFonts w:hint="eastAsia" w:ascii="黑体" w:hAnsi="黑体" w:eastAsia="黑体" w:cs="黑体"/>
          <w:b/>
          <w:color w:val="000000"/>
          <w:sz w:val="28"/>
          <w:szCs w:val="28"/>
        </w:rPr>
      </w:pPr>
      <w:r>
        <w:rPr>
          <w:rFonts w:hint="eastAsia" w:ascii="黑体" w:hAnsi="黑体" w:eastAsia="黑体" w:cs="黑体"/>
          <w:b/>
          <w:color w:val="000000"/>
          <w:sz w:val="28"/>
          <w:szCs w:val="28"/>
        </w:rPr>
        <w:t>（</w:t>
      </w:r>
      <w:r>
        <w:rPr>
          <w:rFonts w:hint="eastAsia" w:ascii="黑体" w:hAnsi="黑体" w:eastAsia="黑体" w:cs="黑体"/>
          <w:b/>
          <w:color w:val="000000"/>
          <w:sz w:val="28"/>
          <w:szCs w:val="28"/>
          <w:lang w:eastAsia="zh-CN"/>
        </w:rPr>
        <w:t>三</w:t>
      </w:r>
      <w:r>
        <w:rPr>
          <w:rFonts w:hint="eastAsia" w:ascii="黑体" w:hAnsi="黑体" w:eastAsia="黑体" w:cs="黑体"/>
          <w:b/>
          <w:color w:val="000000"/>
          <w:sz w:val="28"/>
          <w:szCs w:val="28"/>
        </w:rPr>
        <w:t>）预算绩效情况</w:t>
      </w:r>
    </w:p>
    <w:p>
      <w:pPr>
        <w:spacing w:line="600" w:lineRule="atLeas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1.绩效目标管理情况。</w:t>
      </w:r>
    </w:p>
    <w:p>
      <w:pPr>
        <w:spacing w:line="600" w:lineRule="atLeast"/>
        <w:ind w:firstLine="560" w:firstLineChars="200"/>
        <w:rPr>
          <w:rFonts w:hint="eastAsia" w:ascii="宋体" w:hAnsi="宋体" w:eastAsia="宋体" w:cs="宋体"/>
          <w:b/>
          <w:color w:val="000000"/>
          <w:sz w:val="28"/>
          <w:szCs w:val="28"/>
          <w:highlight w:val="yellow"/>
        </w:rPr>
      </w:pPr>
      <w:r>
        <w:rPr>
          <w:rFonts w:hint="eastAsia" w:ascii="宋体" w:hAnsi="宋体" w:eastAsia="宋体" w:cs="宋体"/>
          <w:color w:val="000000"/>
          <w:sz w:val="28"/>
          <w:szCs w:val="28"/>
        </w:rPr>
        <w:t>按照预算绩效管理要求，本部门对201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年一般公共预算项目支出开展了绩效目标管理，共编制绩效目标</w:t>
      </w:r>
      <w:r>
        <w:rPr>
          <w:rFonts w:hint="eastAsia" w:ascii="宋体" w:hAnsi="宋体" w:eastAsia="宋体" w:cs="宋体"/>
          <w:color w:val="000000"/>
          <w:sz w:val="28"/>
          <w:szCs w:val="28"/>
          <w:lang w:val="en-US" w:eastAsia="zh-CN"/>
        </w:rPr>
        <w:t>25</w:t>
      </w:r>
      <w:r>
        <w:rPr>
          <w:rFonts w:hint="eastAsia" w:ascii="宋体" w:hAnsi="宋体" w:eastAsia="宋体" w:cs="宋体"/>
          <w:color w:val="000000"/>
          <w:sz w:val="28"/>
          <w:szCs w:val="28"/>
        </w:rPr>
        <w:t>个，涉及财政资金</w:t>
      </w:r>
      <w:r>
        <w:rPr>
          <w:rFonts w:hint="eastAsia" w:ascii="宋体" w:hAnsi="宋体" w:cs="宋体"/>
          <w:color w:val="000000"/>
          <w:sz w:val="28"/>
          <w:szCs w:val="28"/>
          <w:lang w:val="en-US" w:eastAsia="zh-CN"/>
        </w:rPr>
        <w:t>510.48</w:t>
      </w:r>
      <w:r>
        <w:rPr>
          <w:rFonts w:hint="eastAsia" w:ascii="宋体" w:hAnsi="宋体" w:eastAsia="宋体" w:cs="宋体"/>
          <w:color w:val="000000"/>
          <w:sz w:val="28"/>
          <w:szCs w:val="28"/>
        </w:rPr>
        <w:t>万元，覆盖率达到</w:t>
      </w:r>
      <w:r>
        <w:rPr>
          <w:rFonts w:hint="eastAsia" w:ascii="宋体" w:hAnsi="宋体" w:eastAsia="宋体" w:cs="宋体"/>
          <w:color w:val="000000"/>
          <w:sz w:val="28"/>
          <w:szCs w:val="28"/>
          <w:lang w:val="en-US" w:eastAsia="zh-CN"/>
        </w:rPr>
        <w:t>100</w:t>
      </w:r>
      <w:r>
        <w:rPr>
          <w:rFonts w:hint="eastAsia" w:ascii="宋体" w:hAnsi="宋体" w:eastAsia="宋体" w:cs="宋体"/>
          <w:color w:val="000000"/>
          <w:sz w:val="28"/>
          <w:szCs w:val="28"/>
        </w:rPr>
        <w:t>%。</w:t>
      </w:r>
    </w:p>
    <w:p>
      <w:pPr>
        <w:numPr>
          <w:ilvl w:val="0"/>
          <w:numId w:val="3"/>
        </w:numPr>
        <w:spacing w:line="600" w:lineRule="atLeas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部门整体支出绩效自评开展情况。</w:t>
      </w:r>
    </w:p>
    <w:p>
      <w:pPr>
        <w:numPr>
          <w:ilvl w:val="0"/>
          <w:numId w:val="0"/>
        </w:numPr>
        <w:spacing w:line="600" w:lineRule="atLeas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按照预算绩效管理要求，</w:t>
      </w:r>
      <w:r>
        <w:rPr>
          <w:rFonts w:hint="eastAsia" w:ascii="宋体" w:hAnsi="宋体" w:eastAsia="宋体" w:cs="宋体"/>
          <w:color w:val="000000"/>
          <w:sz w:val="28"/>
          <w:szCs w:val="28"/>
          <w:lang w:eastAsia="zh-CN"/>
        </w:rPr>
        <w:t>我校</w:t>
      </w:r>
      <w:r>
        <w:rPr>
          <w:rFonts w:hint="eastAsia" w:ascii="宋体" w:hAnsi="宋体" w:eastAsia="宋体" w:cs="宋体"/>
          <w:color w:val="000000"/>
          <w:sz w:val="28"/>
          <w:szCs w:val="28"/>
        </w:rPr>
        <w:t>对201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年整体支出开展绩效自评，自评得分8</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分，存在的问题：一是实施过程缓慢，二是风险防控不完善，三是管理没细化。下一步改进措施：进一步完善财务管理体制和运行机制、建立科学化、精细化的预算管理机制、建立绩效评价制度、加快财务监管体系建设、提高经费使用效益、强化财务风险管理。提高预算编制的科学性、准确性，按照“量入为出，统筹兼顾、保证重点、收支平衡”的原则，科学合理编制预算，强化预算执行，提高预算执行效率，实行了预算、决算在政府网站公开。</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年部门整体支出绩效评价得分表</w:t>
      </w:r>
    </w:p>
    <w:tbl>
      <w:tblPr>
        <w:tblStyle w:val="12"/>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一级指标</w:t>
            </w:r>
          </w:p>
        </w:tc>
        <w:tc>
          <w:tcPr>
            <w:tcW w:w="226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二级指标</w:t>
            </w:r>
          </w:p>
        </w:tc>
        <w:tc>
          <w:tcPr>
            <w:tcW w:w="340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三级指标</w:t>
            </w:r>
          </w:p>
        </w:tc>
        <w:tc>
          <w:tcPr>
            <w:tcW w:w="212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得分</w:t>
            </w:r>
          </w:p>
        </w:tc>
      </w:tr>
      <w:tr>
        <w:tblPrEx>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部门决策（25分）</w:t>
            </w: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目标任务（15分）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相关性（5分）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5</w:t>
            </w:r>
          </w:p>
        </w:tc>
      </w:tr>
      <w:tr>
        <w:tblPrEx>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明确性（5分）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5</w:t>
            </w:r>
          </w:p>
        </w:tc>
      </w:tr>
      <w:tr>
        <w:tblPrEx>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合理性（5分）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w:t>
            </w:r>
          </w:p>
        </w:tc>
      </w:tr>
      <w:tr>
        <w:tblPrEx>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预算编制（10分）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测算依据（5分）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w:t>
            </w:r>
          </w:p>
        </w:tc>
      </w:tr>
      <w:tr>
        <w:tblPrEx>
          <w:tblCellMar>
            <w:top w:w="0" w:type="dxa"/>
            <w:left w:w="108" w:type="dxa"/>
            <w:bottom w:w="0" w:type="dxa"/>
            <w:right w:w="108" w:type="dxa"/>
          </w:tblCellMar>
        </w:tblPrEx>
        <w:trPr>
          <w:trHeight w:val="231" w:hRule="atLeast"/>
        </w:trPr>
        <w:tc>
          <w:tcPr>
            <w:tcW w:w="1702"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目标管理（5分）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w:t>
            </w:r>
          </w:p>
        </w:tc>
      </w:tr>
      <w:tr>
        <w:tblPrEx>
          <w:tblCellMar>
            <w:top w:w="0" w:type="dxa"/>
            <w:left w:w="108" w:type="dxa"/>
            <w:bottom w:w="0" w:type="dxa"/>
            <w:right w:w="108" w:type="dxa"/>
          </w:tblCellMar>
        </w:tblPrEx>
        <w:trPr>
          <w:trHeight w:val="477" w:hRule="atLeast"/>
        </w:trPr>
        <w:tc>
          <w:tcPr>
            <w:tcW w:w="1702" w:type="dxa"/>
            <w:vMerge w:val="restart"/>
            <w:tcBorders>
              <w:top w:val="nil"/>
              <w:left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综合管理（30分）</w:t>
            </w: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专项资金分配时限（2分）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省级财力专项预算分配时限（1分）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p>
        </w:tc>
      </w:tr>
      <w:tr>
        <w:tblPrEx>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shd w:val="clear" w:color="auto" w:fill="auto"/>
            <w:noWrap w:val="0"/>
            <w:vAlign w:val="center"/>
          </w:tcPr>
          <w:p>
            <w:pPr>
              <w:jc w:val="center"/>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中央专款分配合规率（1分）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p>
        </w:tc>
      </w:tr>
      <w:tr>
        <w:tblPrEx>
          <w:tblCellMar>
            <w:top w:w="0" w:type="dxa"/>
            <w:left w:w="108" w:type="dxa"/>
            <w:bottom w:w="0" w:type="dxa"/>
            <w:right w:w="108" w:type="dxa"/>
          </w:tblCellMar>
        </w:tblPrEx>
        <w:trPr>
          <w:trHeight w:val="277" w:hRule="atLeast"/>
        </w:trPr>
        <w:tc>
          <w:tcPr>
            <w:tcW w:w="1702" w:type="dxa"/>
            <w:vMerge w:val="continue"/>
            <w:tcBorders>
              <w:left w:val="single" w:color="auto" w:sz="4" w:space="0"/>
              <w:right w:val="single" w:color="auto" w:sz="4" w:space="0"/>
            </w:tcBorders>
            <w:shd w:val="clear" w:color="auto" w:fill="auto"/>
            <w:noWrap w:val="0"/>
            <w:vAlign w:val="center"/>
          </w:tcPr>
          <w:p>
            <w:pPr>
              <w:jc w:val="center"/>
              <w:rPr>
                <w:rFonts w:hint="eastAsia" w:ascii="宋体" w:hAnsi="宋体" w:eastAsia="宋体" w:cs="宋体"/>
                <w:color w:val="000000"/>
                <w:kern w:val="0"/>
                <w:sz w:val="28"/>
                <w:szCs w:val="28"/>
              </w:rPr>
            </w:pPr>
          </w:p>
        </w:tc>
        <w:tc>
          <w:tcPr>
            <w:tcW w:w="226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中期评估（2分）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执行中期评估（2分）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w:t>
            </w:r>
          </w:p>
        </w:tc>
      </w:tr>
      <w:tr>
        <w:tblPrEx>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shd w:val="clear" w:color="auto" w:fill="auto"/>
            <w:noWrap w:val="0"/>
            <w:vAlign w:val="center"/>
          </w:tcPr>
          <w:p>
            <w:pPr>
              <w:jc w:val="center"/>
              <w:rPr>
                <w:rFonts w:hint="eastAsia" w:ascii="宋体" w:hAnsi="宋体" w:eastAsia="宋体" w:cs="宋体"/>
                <w:color w:val="000000"/>
                <w:kern w:val="0"/>
                <w:sz w:val="28"/>
                <w:szCs w:val="28"/>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绩效监控（5分）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预算执行进度监控（2分）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p>
        </w:tc>
      </w:tr>
      <w:tr>
        <w:tblPrEx>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shd w:val="clear" w:color="auto" w:fill="auto"/>
            <w:noWrap w:val="0"/>
            <w:vAlign w:val="center"/>
          </w:tcPr>
          <w:p>
            <w:pPr>
              <w:jc w:val="center"/>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绩效目标动态监控（3分）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w:t>
            </w:r>
          </w:p>
        </w:tc>
      </w:tr>
      <w:tr>
        <w:tblPrEx>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shd w:val="clear" w:color="auto" w:fill="auto"/>
            <w:noWrap w:val="0"/>
            <w:vAlign w:val="center"/>
          </w:tcPr>
          <w:p>
            <w:pPr>
              <w:jc w:val="center"/>
              <w:rPr>
                <w:rFonts w:hint="eastAsia" w:ascii="宋体" w:hAnsi="宋体" w:eastAsia="宋体" w:cs="宋体"/>
                <w:color w:val="000000"/>
                <w:kern w:val="0"/>
                <w:sz w:val="28"/>
                <w:szCs w:val="28"/>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非税收入执收情况（2分）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非税收入征收情况（1分）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p>
        </w:tc>
      </w:tr>
      <w:tr>
        <w:tblPrEx>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shd w:val="clear" w:color="auto" w:fill="auto"/>
            <w:noWrap w:val="0"/>
            <w:vAlign w:val="center"/>
          </w:tcPr>
          <w:p>
            <w:pPr>
              <w:jc w:val="center"/>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非税收入上缴情况（1分）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p>
        </w:tc>
      </w:tr>
      <w:tr>
        <w:tblPrEx>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shd w:val="clear" w:color="auto" w:fill="auto"/>
            <w:noWrap w:val="0"/>
            <w:vAlign w:val="center"/>
          </w:tcPr>
          <w:p>
            <w:pPr>
              <w:jc w:val="center"/>
              <w:rPr>
                <w:rFonts w:hint="eastAsia" w:ascii="宋体" w:hAnsi="宋体" w:eastAsia="宋体" w:cs="宋体"/>
                <w:color w:val="000000"/>
                <w:kern w:val="0"/>
                <w:sz w:val="28"/>
                <w:szCs w:val="28"/>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资产管理（6分）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资产管理信息化情况（2分）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p>
        </w:tc>
      </w:tr>
      <w:tr>
        <w:tblPrEx>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shd w:val="clear" w:color="auto" w:fill="auto"/>
            <w:noWrap w:val="0"/>
            <w:vAlign w:val="center"/>
          </w:tcPr>
          <w:p>
            <w:pPr>
              <w:jc w:val="center"/>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行政事业单位资产报告情况（2分）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w:t>
            </w:r>
          </w:p>
        </w:tc>
      </w:tr>
      <w:tr>
        <w:tblPrEx>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shd w:val="clear" w:color="auto" w:fill="auto"/>
            <w:noWrap w:val="0"/>
            <w:vAlign w:val="center"/>
          </w:tcPr>
          <w:p>
            <w:pPr>
              <w:jc w:val="center"/>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资产管理与预算管理相结合（2分）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p>
        </w:tc>
      </w:tr>
      <w:tr>
        <w:tblPrEx>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p>
        </w:tc>
        <w:tc>
          <w:tcPr>
            <w:tcW w:w="2268"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内控制度管理（2分）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内部控制度健全完整（2分）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p>
        </w:tc>
      </w:tr>
      <w:tr>
        <w:tblPrEx>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信息公开（6分）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预算公开（2分）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w:t>
            </w:r>
          </w:p>
        </w:tc>
      </w:tr>
      <w:tr>
        <w:tblPrEx>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决算公开（2分）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w:t>
            </w:r>
          </w:p>
        </w:tc>
      </w:tr>
      <w:tr>
        <w:tblPrEx>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绩效信息公开（2分）</w:t>
            </w:r>
          </w:p>
        </w:tc>
        <w:tc>
          <w:tcPr>
            <w:tcW w:w="2126" w:type="dxa"/>
            <w:tcBorders>
              <w:top w:val="nil"/>
              <w:left w:val="nil"/>
              <w:bottom w:val="single" w:color="auto" w:sz="4" w:space="0"/>
              <w:right w:val="single" w:color="auto" w:sz="4" w:space="0"/>
            </w:tcBorders>
            <w:noWrap w:val="0"/>
            <w:vAlign w:val="top"/>
          </w:tcPr>
          <w:p>
            <w:pPr>
              <w:widowControl/>
              <w:jc w:val="left"/>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2</w:t>
            </w:r>
          </w:p>
        </w:tc>
      </w:tr>
      <w:tr>
        <w:tblPrEx>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绩效评价（5分）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绩效评价开展（2分）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w:t>
            </w:r>
          </w:p>
        </w:tc>
      </w:tr>
      <w:tr>
        <w:tblPrEx>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评价结果应用（3分）</w:t>
            </w:r>
          </w:p>
        </w:tc>
        <w:tc>
          <w:tcPr>
            <w:tcW w:w="2126"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w:t>
            </w:r>
          </w:p>
        </w:tc>
      </w:tr>
      <w:tr>
        <w:tblPrEx>
          <w:tblCellMar>
            <w:top w:w="0" w:type="dxa"/>
            <w:left w:w="108" w:type="dxa"/>
            <w:bottom w:w="0" w:type="dxa"/>
            <w:right w:w="108" w:type="dxa"/>
          </w:tblCellMar>
        </w:tblPrEx>
        <w:trPr>
          <w:trHeight w:val="231" w:hRule="atLeast"/>
        </w:trPr>
        <w:tc>
          <w:tcPr>
            <w:tcW w:w="1702" w:type="dxa"/>
            <w:vMerge w:val="restart"/>
            <w:tcBorders>
              <w:top w:val="nil"/>
              <w:left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部门绩效情况（45分）</w:t>
            </w: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履职成效（20分）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部门特性指标</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16</w:t>
            </w:r>
          </w:p>
        </w:tc>
      </w:tr>
      <w:tr>
        <w:tblPrEx>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shd w:val="clear" w:color="auto" w:fill="auto"/>
            <w:noWrap w:val="0"/>
            <w:vAlign w:val="center"/>
          </w:tcPr>
          <w:p>
            <w:pPr>
              <w:jc w:val="left"/>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shd w:val="clear" w:color="auto" w:fill="auto"/>
            <w:noWrap w:val="0"/>
            <w:vAlign w:val="center"/>
          </w:tcPr>
          <w:p>
            <w:pPr>
              <w:jc w:val="left"/>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shd w:val="clear" w:color="auto" w:fill="auto"/>
            <w:noWrap w:val="0"/>
            <w:vAlign w:val="center"/>
          </w:tcPr>
          <w:p>
            <w:pPr>
              <w:jc w:val="left"/>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shd w:val="clear" w:color="auto" w:fill="auto"/>
            <w:noWrap w:val="0"/>
            <w:vAlign w:val="center"/>
          </w:tcPr>
          <w:p>
            <w:pPr>
              <w:jc w:val="left"/>
              <w:rPr>
                <w:rFonts w:hint="eastAsia" w:ascii="宋体" w:hAnsi="宋体" w:eastAsia="宋体" w:cs="宋体"/>
                <w:color w:val="000000"/>
                <w:kern w:val="0"/>
                <w:sz w:val="28"/>
                <w:szCs w:val="28"/>
              </w:rPr>
            </w:pP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可持续发展能力（15分）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重点改革（重点工作）完成情况（5分）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w:t>
            </w:r>
          </w:p>
        </w:tc>
      </w:tr>
      <w:tr>
        <w:tblPrEx>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shd w:val="clear" w:color="auto" w:fill="auto"/>
            <w:noWrap w:val="0"/>
            <w:vAlign w:val="center"/>
          </w:tcPr>
          <w:p>
            <w:pPr>
              <w:jc w:val="left"/>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科技（制度、方法、机制等）创新（5分）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w:t>
            </w:r>
          </w:p>
        </w:tc>
      </w:tr>
      <w:tr>
        <w:tblPrEx>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shd w:val="clear" w:color="auto" w:fill="auto"/>
            <w:noWrap w:val="0"/>
            <w:vAlign w:val="center"/>
          </w:tcPr>
          <w:p>
            <w:pPr>
              <w:jc w:val="left"/>
              <w:rPr>
                <w:rFonts w:hint="eastAsia" w:ascii="宋体" w:hAnsi="宋体" w:eastAsia="宋体" w:cs="宋体"/>
                <w:color w:val="000000"/>
                <w:kern w:val="0"/>
                <w:sz w:val="28"/>
                <w:szCs w:val="28"/>
              </w:rPr>
            </w:pP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人才培养（5分）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w:t>
            </w:r>
          </w:p>
        </w:tc>
      </w:tr>
      <w:tr>
        <w:tblPrEx>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shd w:val="clear" w:color="auto" w:fill="auto"/>
            <w:noWrap w:val="0"/>
            <w:vAlign w:val="center"/>
          </w:tcPr>
          <w:p>
            <w:pPr>
              <w:jc w:val="left"/>
              <w:rPr>
                <w:rFonts w:hint="eastAsia" w:ascii="宋体" w:hAnsi="宋体" w:eastAsia="宋体" w:cs="宋体"/>
                <w:color w:val="000000"/>
                <w:kern w:val="0"/>
                <w:sz w:val="28"/>
                <w:szCs w:val="28"/>
              </w:rPr>
            </w:pPr>
          </w:p>
        </w:tc>
        <w:tc>
          <w:tcPr>
            <w:tcW w:w="2268" w:type="dxa"/>
            <w:vMerge w:val="restart"/>
            <w:tcBorders>
              <w:top w:val="nil"/>
              <w:left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满意度（10分）</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协作部门满意度（3分）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w:t>
            </w:r>
          </w:p>
        </w:tc>
      </w:tr>
      <w:tr>
        <w:tblPrEx>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shd w:val="clear" w:color="auto" w:fill="auto"/>
            <w:noWrap w:val="0"/>
            <w:vAlign w:val="center"/>
          </w:tcPr>
          <w:p>
            <w:pPr>
              <w:jc w:val="left"/>
              <w:rPr>
                <w:rFonts w:hint="eastAsia" w:ascii="宋体" w:hAnsi="宋体" w:eastAsia="宋体" w:cs="宋体"/>
                <w:color w:val="000000"/>
                <w:kern w:val="0"/>
                <w:sz w:val="28"/>
                <w:szCs w:val="28"/>
              </w:rPr>
            </w:pPr>
          </w:p>
        </w:tc>
        <w:tc>
          <w:tcPr>
            <w:tcW w:w="2268" w:type="dxa"/>
            <w:vMerge w:val="continue"/>
            <w:tcBorders>
              <w:left w:val="single" w:color="auto" w:sz="4" w:space="0"/>
              <w:right w:val="single" w:color="auto" w:sz="4" w:space="0"/>
            </w:tcBorders>
            <w:shd w:val="clear" w:color="auto" w:fill="auto"/>
            <w:noWrap w:val="0"/>
            <w:vAlign w:val="center"/>
          </w:tcPr>
          <w:p>
            <w:pPr>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管理对象满意度（3分）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3</w:t>
            </w:r>
          </w:p>
        </w:tc>
      </w:tr>
      <w:tr>
        <w:tblPrEx>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2268"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社会公众满意度（4分）</w:t>
            </w:r>
          </w:p>
        </w:tc>
        <w:tc>
          <w:tcPr>
            <w:tcW w:w="212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w:t>
            </w:r>
          </w:p>
        </w:tc>
      </w:tr>
    </w:tbl>
    <w:p>
      <w:pPr>
        <w:rPr>
          <w:rFonts w:hint="eastAsia" w:ascii="宋体" w:hAnsi="宋体" w:eastAsia="宋体" w:cs="宋体"/>
          <w:color w:val="000000"/>
          <w:sz w:val="28"/>
          <w:szCs w:val="28"/>
        </w:rPr>
      </w:pPr>
    </w:p>
    <w:p>
      <w:pPr>
        <w:spacing w:line="600" w:lineRule="atLeast"/>
        <w:ind w:firstLine="562" w:firstLineChars="200"/>
        <w:rPr>
          <w:rFonts w:hint="eastAsia" w:ascii="宋体" w:hAnsi="宋体" w:eastAsia="宋体" w:cs="宋体"/>
          <w:b/>
          <w:color w:val="000000"/>
          <w:sz w:val="28"/>
          <w:szCs w:val="28"/>
        </w:rPr>
      </w:pPr>
    </w:p>
    <w:p>
      <w:pPr>
        <w:spacing w:line="600" w:lineRule="atLeas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3.部门自行组织绩效评价开展情况。</w:t>
      </w:r>
    </w:p>
    <w:p>
      <w:pPr>
        <w:spacing w:line="600" w:lineRule="atLeas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我校无</w:t>
      </w:r>
      <w:r>
        <w:rPr>
          <w:rFonts w:hint="eastAsia" w:ascii="宋体" w:hAnsi="宋体" w:eastAsia="宋体" w:cs="宋体"/>
          <w:color w:val="000000"/>
          <w:sz w:val="28"/>
          <w:szCs w:val="28"/>
        </w:rPr>
        <w:t>下属单位。</w:t>
      </w:r>
    </w:p>
    <w:p>
      <w:pPr>
        <w:spacing w:line="600" w:lineRule="atLeast"/>
        <w:ind w:firstLine="1400" w:firstLineChars="500"/>
        <w:rPr>
          <w:rFonts w:hint="eastAsia" w:ascii="宋体" w:hAnsi="宋体" w:eastAsia="宋体" w:cs="宋体"/>
          <w:color w:val="000000"/>
          <w:sz w:val="28"/>
          <w:szCs w:val="28"/>
        </w:rPr>
      </w:pPr>
      <w:r>
        <w:rPr>
          <w:rFonts w:hint="eastAsia" w:ascii="宋体" w:hAnsi="宋体" w:eastAsia="宋体" w:cs="宋体"/>
          <w:color w:val="000000"/>
          <w:sz w:val="28"/>
          <w:szCs w:val="28"/>
        </w:rPr>
        <w:t>201</w:t>
      </w:r>
      <w:r>
        <w:rPr>
          <w:rFonts w:hint="eastAsia" w:ascii="宋体" w:hAnsi="宋体" w:cs="宋体"/>
          <w:color w:val="000000"/>
          <w:sz w:val="28"/>
          <w:szCs w:val="28"/>
          <w:lang w:val="en-US" w:eastAsia="zh-CN"/>
        </w:rPr>
        <w:t>8</w:t>
      </w:r>
      <w:r>
        <w:rPr>
          <w:rFonts w:hint="eastAsia" w:ascii="宋体" w:hAnsi="宋体" w:eastAsia="宋体" w:cs="宋体"/>
          <w:color w:val="000000"/>
          <w:sz w:val="28"/>
          <w:szCs w:val="28"/>
        </w:rPr>
        <w:t>年项目支出绩效评价得分表</w:t>
      </w:r>
    </w:p>
    <w:tbl>
      <w:tblPr>
        <w:tblStyle w:val="12"/>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2113"/>
        <w:gridCol w:w="3535"/>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618" w:type="dxa"/>
            <w:shd w:val="clear" w:color="auto" w:fill="auto"/>
            <w:noWrap w:val="0"/>
            <w:vAlign w:val="center"/>
          </w:tcPr>
          <w:p>
            <w:pPr>
              <w:widowControl/>
              <w:spacing w:line="260" w:lineRule="exact"/>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单位名称/</w:t>
            </w:r>
          </w:p>
          <w:p>
            <w:pPr>
              <w:widowControl/>
              <w:spacing w:line="260" w:lineRule="exact"/>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项目名称</w:t>
            </w:r>
          </w:p>
        </w:tc>
        <w:tc>
          <w:tcPr>
            <w:tcW w:w="8270" w:type="dxa"/>
            <w:gridSpan w:val="4"/>
            <w:shd w:val="clear" w:color="auto" w:fill="auto"/>
            <w:noWrap w:val="0"/>
            <w:vAlign w:val="center"/>
          </w:tcPr>
          <w:p>
            <w:pPr>
              <w:widowControl/>
              <w:spacing w:line="260" w:lineRule="exact"/>
              <w:jc w:val="center"/>
              <w:rPr>
                <w:rFonts w:hint="eastAsia" w:ascii="宋体" w:hAnsi="宋体" w:eastAsia="宋体"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618" w:type="dxa"/>
            <w:shd w:val="clear" w:color="auto" w:fill="auto"/>
            <w:noWrap w:val="0"/>
            <w:vAlign w:val="center"/>
          </w:tcPr>
          <w:p>
            <w:pPr>
              <w:widowControl/>
              <w:spacing w:line="260" w:lineRule="exact"/>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一级</w:t>
            </w:r>
          </w:p>
          <w:p>
            <w:pPr>
              <w:widowControl/>
              <w:spacing w:line="260" w:lineRule="exact"/>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指标</w:t>
            </w:r>
          </w:p>
        </w:tc>
        <w:tc>
          <w:tcPr>
            <w:tcW w:w="2113" w:type="dxa"/>
            <w:shd w:val="clear" w:color="auto" w:fill="auto"/>
            <w:noWrap w:val="0"/>
            <w:vAlign w:val="center"/>
          </w:tcPr>
          <w:p>
            <w:pPr>
              <w:widowControl/>
              <w:spacing w:line="260" w:lineRule="exact"/>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二级</w:t>
            </w:r>
          </w:p>
          <w:p>
            <w:pPr>
              <w:widowControl/>
              <w:spacing w:line="260" w:lineRule="exact"/>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指标</w:t>
            </w:r>
          </w:p>
        </w:tc>
        <w:tc>
          <w:tcPr>
            <w:tcW w:w="3535" w:type="dxa"/>
            <w:shd w:val="clear" w:color="auto" w:fill="auto"/>
            <w:noWrap w:val="0"/>
            <w:vAlign w:val="center"/>
          </w:tcPr>
          <w:p>
            <w:pPr>
              <w:widowControl/>
              <w:spacing w:line="260" w:lineRule="exact"/>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三级指标</w:t>
            </w:r>
          </w:p>
        </w:tc>
        <w:tc>
          <w:tcPr>
            <w:tcW w:w="1311" w:type="dxa"/>
            <w:shd w:val="clear" w:color="auto" w:fill="auto"/>
            <w:noWrap w:val="0"/>
            <w:vAlign w:val="center"/>
          </w:tcPr>
          <w:p>
            <w:pPr>
              <w:widowControl/>
              <w:spacing w:line="260" w:lineRule="exact"/>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分值</w:t>
            </w:r>
          </w:p>
        </w:tc>
        <w:tc>
          <w:tcPr>
            <w:tcW w:w="1311" w:type="dxa"/>
            <w:noWrap w:val="0"/>
            <w:vAlign w:val="center"/>
          </w:tcPr>
          <w:p>
            <w:pPr>
              <w:widowControl/>
              <w:spacing w:line="260" w:lineRule="exact"/>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vMerge w:val="restart"/>
            <w:shd w:val="clear" w:color="auto" w:fill="auto"/>
            <w:noWrap w:val="0"/>
            <w:textDirection w:val="tbRlV"/>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（20分）</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项目决策</w:t>
            </w:r>
          </w:p>
        </w:tc>
        <w:tc>
          <w:tcPr>
            <w:tcW w:w="2113" w:type="dxa"/>
            <w:vMerge w:val="restart"/>
            <w:shd w:val="clear" w:color="auto" w:fill="auto"/>
            <w:noWrap w:val="0"/>
            <w:textDirection w:val="tbRlV"/>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（10分）</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科学决策</w:t>
            </w: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必要性</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（政策依据)</w:t>
            </w:r>
          </w:p>
        </w:tc>
        <w:tc>
          <w:tcPr>
            <w:tcW w:w="1311"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可行性</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（政策完善）</w:t>
            </w:r>
          </w:p>
        </w:tc>
        <w:tc>
          <w:tcPr>
            <w:tcW w:w="1311"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restart"/>
            <w:shd w:val="clear" w:color="auto" w:fill="auto"/>
            <w:noWrap w:val="0"/>
            <w:textDirection w:val="tbRlV"/>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（10）</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 xml:space="preserve">绩效目标    </w:t>
            </w: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明确性</w:t>
            </w:r>
          </w:p>
        </w:tc>
        <w:tc>
          <w:tcPr>
            <w:tcW w:w="1311"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合理性</w:t>
            </w:r>
          </w:p>
        </w:tc>
        <w:tc>
          <w:tcPr>
            <w:tcW w:w="1311"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618" w:type="dxa"/>
            <w:vMerge w:val="restart"/>
            <w:shd w:val="clear" w:color="auto" w:fill="auto"/>
            <w:noWrap w:val="0"/>
            <w:textDirection w:val="tbRlV"/>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（10分）</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项目管理</w:t>
            </w:r>
          </w:p>
        </w:tc>
        <w:tc>
          <w:tcPr>
            <w:tcW w:w="2113" w:type="dxa"/>
            <w:vMerge w:val="restart"/>
            <w:shd w:val="clear" w:color="auto" w:fill="auto"/>
            <w:noWrap w:val="0"/>
            <w:textDirection w:val="tbRlV"/>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（7分）</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资金管理</w:t>
            </w: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资金分配</w:t>
            </w:r>
          </w:p>
        </w:tc>
        <w:tc>
          <w:tcPr>
            <w:tcW w:w="1311"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continue"/>
            <w:shd w:val="clear" w:color="auto" w:fill="auto"/>
            <w:noWrap w:val="0"/>
            <w:textDirection w:val="tbRlV"/>
            <w:vAlign w:val="center"/>
          </w:tcPr>
          <w:p>
            <w:pPr>
              <w:widowControl/>
              <w:spacing w:line="260" w:lineRule="exact"/>
              <w:jc w:val="center"/>
              <w:rPr>
                <w:rFonts w:hint="eastAsia" w:ascii="宋体" w:hAnsi="宋体" w:eastAsia="宋体" w:cs="宋体"/>
                <w:color w:val="000000"/>
                <w:kern w:val="0"/>
                <w:sz w:val="28"/>
                <w:szCs w:val="28"/>
              </w:rPr>
            </w:pP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资金使用</w:t>
            </w:r>
          </w:p>
        </w:tc>
        <w:tc>
          <w:tcPr>
            <w:tcW w:w="1311"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shd w:val="clear" w:color="auto" w:fill="auto"/>
            <w:noWrap w:val="0"/>
            <w:textDirection w:val="tbRlV"/>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（3分）</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项目执行</w:t>
            </w: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执行规范</w:t>
            </w:r>
          </w:p>
        </w:tc>
        <w:tc>
          <w:tcPr>
            <w:tcW w:w="1311"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18" w:type="dxa"/>
            <w:vMerge w:val="restart"/>
            <w:shd w:val="clear" w:color="auto" w:fill="auto"/>
            <w:noWrap w:val="0"/>
            <w:textDirection w:val="tbRlV"/>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（特性指标70分）</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 xml:space="preserve">项目绩效  </w:t>
            </w:r>
          </w:p>
        </w:tc>
        <w:tc>
          <w:tcPr>
            <w:tcW w:w="2113" w:type="dxa"/>
            <w:vMerge w:val="restart"/>
            <w:shd w:val="clear" w:color="auto" w:fill="auto"/>
            <w:noWrap w:val="0"/>
            <w:textDirection w:val="tbRlV"/>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项目完成</w:t>
            </w: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完成数量</w:t>
            </w:r>
          </w:p>
        </w:tc>
        <w:tc>
          <w:tcPr>
            <w:tcW w:w="1311"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5 </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完成质量</w:t>
            </w:r>
          </w:p>
        </w:tc>
        <w:tc>
          <w:tcPr>
            <w:tcW w:w="1311"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5 </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完成时效</w:t>
            </w:r>
          </w:p>
        </w:tc>
        <w:tc>
          <w:tcPr>
            <w:tcW w:w="1311"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完成成本</w:t>
            </w:r>
          </w:p>
        </w:tc>
        <w:tc>
          <w:tcPr>
            <w:tcW w:w="1311"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restart"/>
            <w:shd w:val="clear" w:color="auto" w:fill="auto"/>
            <w:noWrap w:val="0"/>
            <w:textDirection w:val="tbRlV"/>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（50分）</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项目效益</w:t>
            </w: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经济效益（可选项）</w:t>
            </w:r>
          </w:p>
        </w:tc>
        <w:tc>
          <w:tcPr>
            <w:tcW w:w="1311" w:type="dxa"/>
            <w:vMerge w:val="restart"/>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40</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社会效益（可选项）</w:t>
            </w:r>
          </w:p>
        </w:tc>
        <w:tc>
          <w:tcPr>
            <w:tcW w:w="1311"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1311" w:type="dxa"/>
            <w:noWrap w:val="0"/>
            <w:vAlign w:val="top"/>
          </w:tcPr>
          <w:p>
            <w:pPr>
              <w:widowControl/>
              <w:spacing w:line="260" w:lineRule="exact"/>
              <w:jc w:val="left"/>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生态效益（可选项）</w:t>
            </w:r>
          </w:p>
        </w:tc>
        <w:tc>
          <w:tcPr>
            <w:tcW w:w="1311"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1311" w:type="dxa"/>
            <w:noWrap w:val="0"/>
            <w:vAlign w:val="top"/>
          </w:tcPr>
          <w:p>
            <w:pPr>
              <w:widowControl/>
              <w:spacing w:line="260" w:lineRule="exact"/>
              <w:jc w:val="left"/>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可持续效益（可选项）</w:t>
            </w:r>
          </w:p>
        </w:tc>
        <w:tc>
          <w:tcPr>
            <w:tcW w:w="1311"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1311" w:type="dxa"/>
            <w:noWrap w:val="0"/>
            <w:vAlign w:val="top"/>
          </w:tcPr>
          <w:p>
            <w:pPr>
              <w:widowControl/>
              <w:spacing w:line="260" w:lineRule="exact"/>
              <w:jc w:val="left"/>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公平效率（可选项）</w:t>
            </w:r>
          </w:p>
        </w:tc>
        <w:tc>
          <w:tcPr>
            <w:tcW w:w="1311"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1311" w:type="dxa"/>
            <w:noWrap w:val="0"/>
            <w:vAlign w:val="top"/>
          </w:tcPr>
          <w:p>
            <w:pPr>
              <w:widowControl/>
              <w:spacing w:line="260" w:lineRule="exact"/>
              <w:jc w:val="left"/>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使用效率（可选项）</w:t>
            </w:r>
          </w:p>
        </w:tc>
        <w:tc>
          <w:tcPr>
            <w:tcW w:w="1311"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1311" w:type="dxa"/>
            <w:noWrap w:val="0"/>
            <w:vAlign w:val="top"/>
          </w:tcPr>
          <w:p>
            <w:pPr>
              <w:widowControl/>
              <w:spacing w:line="260" w:lineRule="exact"/>
              <w:jc w:val="left"/>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18"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2113" w:type="dxa"/>
            <w:vMerge w:val="continue"/>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p>
        </w:tc>
        <w:tc>
          <w:tcPr>
            <w:tcW w:w="3535"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服务对象满意度    </w:t>
            </w:r>
          </w:p>
        </w:tc>
        <w:tc>
          <w:tcPr>
            <w:tcW w:w="1311" w:type="dxa"/>
            <w:shd w:val="clear" w:color="auto" w:fill="auto"/>
            <w:noWrap w:val="0"/>
            <w:vAlign w:val="center"/>
          </w:tcPr>
          <w:p>
            <w:pPr>
              <w:widowControl/>
              <w:spacing w:line="26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10</w:t>
            </w:r>
          </w:p>
        </w:tc>
        <w:tc>
          <w:tcPr>
            <w:tcW w:w="1311" w:type="dxa"/>
            <w:noWrap w:val="0"/>
            <w:vAlign w:val="top"/>
          </w:tcPr>
          <w:p>
            <w:pPr>
              <w:widowControl/>
              <w:spacing w:line="260" w:lineRule="exact"/>
              <w:jc w:val="center"/>
              <w:rPr>
                <w:rFonts w:hint="eastAsia" w:ascii="宋体" w:hAnsi="宋体" w:eastAsia="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618" w:type="dxa"/>
            <w:shd w:val="clear" w:color="auto" w:fill="auto"/>
            <w:noWrap w:val="0"/>
            <w:vAlign w:val="center"/>
          </w:tcPr>
          <w:p>
            <w:pPr>
              <w:widowControl/>
              <w:spacing w:line="260" w:lineRule="exact"/>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总分</w:t>
            </w:r>
          </w:p>
        </w:tc>
        <w:tc>
          <w:tcPr>
            <w:tcW w:w="8270" w:type="dxa"/>
            <w:gridSpan w:val="4"/>
            <w:shd w:val="clear" w:color="auto" w:fill="auto"/>
            <w:noWrap w:val="0"/>
            <w:vAlign w:val="center"/>
          </w:tcPr>
          <w:p>
            <w:pPr>
              <w:widowControl/>
              <w:spacing w:line="260" w:lineRule="exact"/>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83</w:t>
            </w:r>
          </w:p>
        </w:tc>
      </w:tr>
    </w:tbl>
    <w:p>
      <w:pPr>
        <w:rPr>
          <w:rFonts w:hint="eastAsia" w:ascii="宋体" w:hAnsi="宋体" w:eastAsia="宋体" w:cs="宋体"/>
          <w:color w:val="000000"/>
          <w:sz w:val="28"/>
          <w:szCs w:val="28"/>
        </w:rPr>
      </w:pPr>
    </w:p>
    <w:p>
      <w:pPr>
        <w:autoSpaceDE w:val="0"/>
        <w:autoSpaceDN w:val="0"/>
        <w:adjustRightInd w:val="0"/>
        <w:spacing w:line="600" w:lineRule="exact"/>
        <w:ind w:firstLine="880" w:firstLineChars="200"/>
        <w:jc w:val="center"/>
        <w:rPr>
          <w:rFonts w:hint="eastAsia" w:ascii="宋体" w:hAnsi="宋体" w:eastAsia="宋体" w:cs="宋体"/>
          <w:color w:val="000000"/>
          <w:sz w:val="28"/>
          <w:szCs w:val="28"/>
        </w:rPr>
      </w:pPr>
      <w:r>
        <w:rPr>
          <w:rFonts w:hint="eastAsia" w:ascii="黑体" w:hAnsi="黑体" w:eastAsia="黑体" w:cs="黑体"/>
          <w:color w:val="000000"/>
          <w:sz w:val="44"/>
          <w:szCs w:val="44"/>
          <w:lang w:eastAsia="zh-CN"/>
        </w:rPr>
        <w:t>第三部分　</w:t>
      </w:r>
      <w:r>
        <w:rPr>
          <w:rFonts w:hint="eastAsia" w:ascii="黑体" w:hAnsi="黑体" w:eastAsia="黑体" w:cs="黑体"/>
          <w:color w:val="000000"/>
          <w:sz w:val="44"/>
          <w:szCs w:val="44"/>
        </w:rPr>
        <w:t>名词解释</w:t>
      </w:r>
    </w:p>
    <w:p>
      <w:pPr>
        <w:pStyle w:val="22"/>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1.财政拨款收入：指单位从同级财政部门取得的财政预算资金。</w:t>
      </w:r>
    </w:p>
    <w:p>
      <w:pPr>
        <w:pStyle w:val="22"/>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2.事业收入：指事业单位开展专业业务活动及辅助活动取得的收入。如…（二级预算单位事业收入情况）等。</w:t>
      </w:r>
    </w:p>
    <w:p>
      <w:pPr>
        <w:pStyle w:val="22"/>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3.经营收入：指事业单位在专业业务活动及其辅助活动之外开展非独立核算经营活动取得的收入。如…（二级预算单位经营收入情况）等。</w:t>
      </w:r>
    </w:p>
    <w:p>
      <w:pPr>
        <w:pStyle w:val="22"/>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4.其他收入：指单位取得的除上述收入以外的各项收入。主要是…（收入类型）等。 </w:t>
      </w:r>
    </w:p>
    <w:p>
      <w:pPr>
        <w:pStyle w:val="22"/>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6.年初结转和结余：指以前年度尚未完成、结转到本年按有关规定继续使用的资金。 </w:t>
      </w:r>
    </w:p>
    <w:p>
      <w:pPr>
        <w:pStyle w:val="22"/>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7.结余分配：指事业单位按照事业单位会计制度的规定从非财政补助结余中分配的事业基金和职工福利基金等。</w:t>
      </w:r>
    </w:p>
    <w:p>
      <w:pPr>
        <w:pStyle w:val="22"/>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8、年末结转和结余：指单位按有关规定结转到下年或以后年度继续使用的资金。</w:t>
      </w:r>
    </w:p>
    <w:p>
      <w:pPr>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9</w:t>
      </w:r>
      <w:r>
        <w:rPr>
          <w:rFonts w:hint="eastAsia" w:ascii="宋体" w:hAnsi="宋体" w:eastAsia="宋体" w:cs="宋体"/>
          <w:color w:val="000000"/>
          <w:sz w:val="28"/>
          <w:szCs w:val="28"/>
        </w:rPr>
        <w:t>.教育（类）…（款）…（项）：指</w:t>
      </w:r>
      <w:r>
        <w:rPr>
          <w:rFonts w:hint="eastAsia" w:ascii="宋体" w:hAnsi="宋体" w:cs="宋体"/>
          <w:color w:val="000000"/>
          <w:sz w:val="28"/>
          <w:szCs w:val="28"/>
          <w:lang w:eastAsia="zh-CN"/>
        </w:rPr>
        <w:t>初中教育</w:t>
      </w:r>
      <w:r>
        <w:rPr>
          <w:rFonts w:hint="eastAsia" w:ascii="宋体" w:hAnsi="宋体" w:eastAsia="宋体" w:cs="宋体"/>
          <w:color w:val="000000"/>
          <w:sz w:val="28"/>
          <w:szCs w:val="28"/>
        </w:rPr>
        <w:t>。</w:t>
      </w:r>
    </w:p>
    <w:p>
      <w:pPr>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医疗卫生与计划生育（类）…（款）…（项）：指</w:t>
      </w:r>
      <w:r>
        <w:rPr>
          <w:rFonts w:hint="eastAsia" w:ascii="宋体" w:hAnsi="宋体" w:cs="宋体"/>
          <w:color w:val="000000"/>
          <w:sz w:val="28"/>
          <w:szCs w:val="28"/>
          <w:lang w:eastAsia="zh-CN"/>
        </w:rPr>
        <w:t>医疗保险</w:t>
      </w:r>
      <w:r>
        <w:rPr>
          <w:rFonts w:hint="eastAsia" w:ascii="宋体" w:hAnsi="宋体" w:eastAsia="宋体" w:cs="宋体"/>
          <w:color w:val="000000"/>
          <w:sz w:val="28"/>
          <w:szCs w:val="28"/>
        </w:rPr>
        <w:t>。</w:t>
      </w:r>
    </w:p>
    <w:p>
      <w:pPr>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11</w:t>
      </w:r>
      <w:r>
        <w:rPr>
          <w:rFonts w:hint="eastAsia" w:ascii="宋体" w:hAnsi="宋体" w:eastAsia="宋体" w:cs="宋体"/>
          <w:color w:val="000000"/>
          <w:sz w:val="28"/>
          <w:szCs w:val="28"/>
        </w:rPr>
        <w:t>.住房保障（类）…（款）…（项）：指</w:t>
      </w:r>
      <w:r>
        <w:rPr>
          <w:rFonts w:hint="eastAsia" w:ascii="宋体" w:hAnsi="宋体" w:cs="宋体"/>
          <w:color w:val="000000"/>
          <w:sz w:val="28"/>
          <w:szCs w:val="28"/>
          <w:lang w:eastAsia="zh-CN"/>
        </w:rPr>
        <w:t>住房公积金</w:t>
      </w:r>
      <w:r>
        <w:rPr>
          <w:rFonts w:hint="eastAsia" w:ascii="宋体" w:hAnsi="宋体" w:eastAsia="宋体" w:cs="宋体"/>
          <w:color w:val="000000"/>
          <w:sz w:val="28"/>
          <w:szCs w:val="28"/>
        </w:rPr>
        <w:t>。</w:t>
      </w:r>
    </w:p>
    <w:p>
      <w:pPr>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12</w:t>
      </w:r>
      <w:r>
        <w:rPr>
          <w:rFonts w:hint="eastAsia" w:ascii="宋体" w:hAnsi="宋体" w:eastAsia="宋体" w:cs="宋体"/>
          <w:color w:val="000000"/>
          <w:sz w:val="28"/>
          <w:szCs w:val="28"/>
        </w:rPr>
        <w:t>.基本支出：指为保障机构正常运转、完成日常工作任务而发生的人员支出和公用支出。</w:t>
      </w:r>
    </w:p>
    <w:p>
      <w:pPr>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13</w:t>
      </w:r>
      <w:r>
        <w:rPr>
          <w:rFonts w:hint="eastAsia" w:ascii="宋体" w:hAnsi="宋体" w:eastAsia="宋体" w:cs="宋体"/>
          <w:color w:val="000000"/>
          <w:sz w:val="28"/>
          <w:szCs w:val="28"/>
        </w:rPr>
        <w:t xml:space="preserve">.项目支出：指在基本支出之外为完成特定行政任务和事业发展目标所发生的支出。 </w:t>
      </w:r>
    </w:p>
    <w:p>
      <w:pPr>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14</w:t>
      </w:r>
      <w:r>
        <w:rPr>
          <w:rFonts w:hint="eastAsia" w:ascii="宋体" w:hAnsi="宋体" w:eastAsia="宋体" w:cs="宋体"/>
          <w:color w:val="000000"/>
          <w:sz w:val="28"/>
          <w:szCs w:val="28"/>
        </w:rPr>
        <w:t>.经营支出：指事业单位在专业业务活动及其辅助活动之外开展非独立核算经营活动发生的支出。</w:t>
      </w:r>
    </w:p>
    <w:p>
      <w:pPr>
        <w:pStyle w:val="22"/>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16</w:t>
      </w:r>
      <w:r>
        <w:rPr>
          <w:rFonts w:hint="eastAsia" w:ascii="宋体" w:hAnsi="宋体" w:eastAsia="宋体" w:cs="宋体"/>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hint="eastAsia" w:ascii="黑体" w:hAnsi="黑体" w:eastAsia="黑体"/>
          <w:b w:val="0"/>
        </w:rPr>
      </w:pPr>
      <w:bookmarkStart w:id="45" w:name="_Toc15396618"/>
      <w:r>
        <w:rPr>
          <w:rFonts w:hint="eastAsia" w:ascii="黑体" w:hAnsi="黑体" w:eastAsia="黑体"/>
          <w:color w:val="000000"/>
          <w:sz w:val="44"/>
          <w:szCs w:val="44"/>
        </w:rPr>
        <w:t>第</w:t>
      </w:r>
      <w:r>
        <w:rPr>
          <w:rFonts w:hint="eastAsia" w:ascii="黑体" w:hAnsi="黑体" w:eastAsia="黑体"/>
          <w:color w:val="000000"/>
          <w:sz w:val="44"/>
          <w:szCs w:val="44"/>
          <w:lang w:eastAsia="zh-CN"/>
        </w:rPr>
        <w:t>四</w:t>
      </w:r>
      <w:r>
        <w:rPr>
          <w:rStyle w:val="24"/>
          <w:rFonts w:hint="eastAsia" w:ascii="黑体" w:hAnsi="黑体" w:eastAsia="黑体"/>
          <w:b w:val="0"/>
        </w:rPr>
        <w:t>部分 附表</w:t>
      </w:r>
      <w:bookmarkEnd w:id="45"/>
      <w:bookmarkStart w:id="46" w:name="_Toc15396619"/>
    </w:p>
    <w:p>
      <w:pPr>
        <w:spacing w:line="600" w:lineRule="exact"/>
        <w:jc w:val="both"/>
        <w:outlineLvl w:val="0"/>
        <w:rPr>
          <w:rStyle w:val="25"/>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color w:val="000000"/>
          <w:sz w:val="28"/>
          <w:szCs w:val="28"/>
        </w:rPr>
        <w:t>一、收</w:t>
      </w:r>
      <w:r>
        <w:rPr>
          <w:rStyle w:val="25"/>
          <w:rFonts w:hint="eastAsia" w:asciiTheme="majorEastAsia" w:hAnsiTheme="majorEastAsia" w:eastAsiaTheme="majorEastAsia" w:cstheme="majorEastAsia"/>
          <w:b w:val="0"/>
          <w:bCs w:val="0"/>
          <w:sz w:val="28"/>
          <w:szCs w:val="28"/>
        </w:rPr>
        <w:t>入支出决算总表</w:t>
      </w:r>
      <w:bookmarkEnd w:id="46"/>
      <w:bookmarkStart w:id="47" w:name="_Toc15396620"/>
    </w:p>
    <w:p>
      <w:pPr>
        <w:spacing w:line="600" w:lineRule="exact"/>
        <w:jc w:val="both"/>
        <w:outlineLvl w:val="0"/>
        <w:rPr>
          <w:rStyle w:val="25"/>
          <w:rFonts w:hint="eastAsia" w:asciiTheme="majorEastAsia" w:hAnsiTheme="majorEastAsia" w:eastAsiaTheme="majorEastAsia" w:cstheme="majorEastAsia"/>
          <w:b w:val="0"/>
          <w:bCs w:val="0"/>
          <w:sz w:val="28"/>
          <w:szCs w:val="28"/>
        </w:rPr>
      </w:pPr>
      <w:r>
        <w:rPr>
          <w:rFonts w:hint="eastAsia" w:asciiTheme="majorEastAsia" w:hAnsiTheme="majorEastAsia" w:eastAsiaTheme="majorEastAsia" w:cstheme="majorEastAsia"/>
          <w:b w:val="0"/>
          <w:color w:val="000000"/>
          <w:sz w:val="28"/>
          <w:szCs w:val="28"/>
        </w:rPr>
        <w:t>二、收</w:t>
      </w:r>
      <w:r>
        <w:rPr>
          <w:rStyle w:val="25"/>
          <w:rFonts w:hint="eastAsia" w:asciiTheme="majorEastAsia" w:hAnsiTheme="majorEastAsia" w:eastAsiaTheme="majorEastAsia" w:cstheme="majorEastAsia"/>
          <w:b w:val="0"/>
          <w:bCs w:val="0"/>
          <w:sz w:val="28"/>
          <w:szCs w:val="28"/>
        </w:rPr>
        <w:t>入总表</w:t>
      </w:r>
      <w:bookmarkEnd w:id="47"/>
      <w:bookmarkStart w:id="48" w:name="_Toc15396621"/>
    </w:p>
    <w:p>
      <w:pPr>
        <w:spacing w:line="600" w:lineRule="exact"/>
        <w:jc w:val="both"/>
        <w:outlineLvl w:val="0"/>
        <w:rPr>
          <w:rStyle w:val="25"/>
          <w:rFonts w:hint="eastAsia" w:asciiTheme="majorEastAsia" w:hAnsiTheme="majorEastAsia" w:eastAsiaTheme="majorEastAsia" w:cstheme="majorEastAsia"/>
          <w:b w:val="0"/>
          <w:bCs w:val="0"/>
          <w:sz w:val="28"/>
          <w:szCs w:val="28"/>
        </w:rPr>
      </w:pPr>
      <w:r>
        <w:rPr>
          <w:rStyle w:val="25"/>
          <w:rFonts w:hint="eastAsia" w:asciiTheme="majorEastAsia" w:hAnsiTheme="majorEastAsia" w:eastAsiaTheme="majorEastAsia" w:cstheme="majorEastAsia"/>
          <w:b w:val="0"/>
          <w:bCs w:val="0"/>
          <w:sz w:val="28"/>
          <w:szCs w:val="28"/>
        </w:rPr>
        <w:t>三、</w:t>
      </w:r>
      <w:r>
        <w:rPr>
          <w:rFonts w:hint="eastAsia" w:asciiTheme="majorEastAsia" w:hAnsiTheme="majorEastAsia" w:eastAsiaTheme="majorEastAsia" w:cstheme="majorEastAsia"/>
          <w:b w:val="0"/>
          <w:color w:val="000000"/>
          <w:sz w:val="28"/>
          <w:szCs w:val="28"/>
        </w:rPr>
        <w:t>支</w:t>
      </w:r>
      <w:r>
        <w:rPr>
          <w:rStyle w:val="25"/>
          <w:rFonts w:hint="eastAsia" w:asciiTheme="majorEastAsia" w:hAnsiTheme="majorEastAsia" w:eastAsiaTheme="majorEastAsia" w:cstheme="majorEastAsia"/>
          <w:b w:val="0"/>
          <w:bCs w:val="0"/>
          <w:sz w:val="28"/>
          <w:szCs w:val="28"/>
        </w:rPr>
        <w:t>出总表</w:t>
      </w:r>
      <w:bookmarkEnd w:id="48"/>
      <w:bookmarkStart w:id="49" w:name="_Toc15396622"/>
    </w:p>
    <w:p>
      <w:pPr>
        <w:spacing w:line="600" w:lineRule="exact"/>
        <w:jc w:val="both"/>
        <w:outlineLvl w:val="0"/>
        <w:rPr>
          <w:rFonts w:hint="eastAsia" w:asciiTheme="majorEastAsia" w:hAnsiTheme="majorEastAsia" w:eastAsiaTheme="majorEastAsia" w:cstheme="majorEastAsia"/>
          <w:b w:val="0"/>
          <w:color w:val="000000"/>
          <w:sz w:val="28"/>
          <w:szCs w:val="28"/>
        </w:rPr>
      </w:pPr>
      <w:bookmarkStart w:id="59" w:name="_GoBack"/>
      <w:bookmarkEnd w:id="59"/>
      <w:r>
        <w:rPr>
          <w:rStyle w:val="25"/>
          <w:rFonts w:hint="eastAsia" w:asciiTheme="majorEastAsia" w:hAnsiTheme="majorEastAsia" w:eastAsiaTheme="majorEastAsia" w:cstheme="majorEastAsia"/>
          <w:b w:val="0"/>
          <w:bCs w:val="0"/>
          <w:sz w:val="28"/>
          <w:szCs w:val="28"/>
        </w:rPr>
        <w:t>四、</w:t>
      </w:r>
      <w:r>
        <w:rPr>
          <w:rFonts w:hint="eastAsia" w:asciiTheme="majorEastAsia" w:hAnsiTheme="majorEastAsia" w:eastAsiaTheme="majorEastAsia" w:cstheme="majorEastAsia"/>
          <w:b w:val="0"/>
          <w:color w:val="000000"/>
          <w:sz w:val="28"/>
          <w:szCs w:val="28"/>
        </w:rPr>
        <w:t>财</w:t>
      </w:r>
      <w:r>
        <w:rPr>
          <w:rStyle w:val="25"/>
          <w:rFonts w:hint="eastAsia" w:asciiTheme="majorEastAsia" w:hAnsiTheme="majorEastAsia" w:eastAsiaTheme="majorEastAsia" w:cstheme="majorEastAsia"/>
          <w:b w:val="0"/>
          <w:bCs w:val="0"/>
          <w:sz w:val="28"/>
          <w:szCs w:val="28"/>
        </w:rPr>
        <w:t>政拨款收入支出决算总表</w:t>
      </w:r>
      <w:bookmarkEnd w:id="49"/>
    </w:p>
    <w:p>
      <w:pPr>
        <w:pStyle w:val="3"/>
        <w:rPr>
          <w:rFonts w:hint="eastAsia" w:asciiTheme="majorEastAsia" w:hAnsiTheme="majorEastAsia" w:eastAsiaTheme="majorEastAsia" w:cstheme="majorEastAsia"/>
          <w:color w:val="000000"/>
          <w:sz w:val="28"/>
          <w:szCs w:val="28"/>
        </w:rPr>
      </w:pPr>
      <w:bookmarkStart w:id="50" w:name="_Toc15396623"/>
      <w:r>
        <w:rPr>
          <w:rStyle w:val="25"/>
          <w:rFonts w:hint="eastAsia" w:asciiTheme="majorEastAsia" w:hAnsiTheme="majorEastAsia" w:eastAsiaTheme="majorEastAsia" w:cstheme="majorEastAsia"/>
          <w:b w:val="0"/>
          <w:bCs w:val="0"/>
          <w:sz w:val="28"/>
          <w:szCs w:val="28"/>
        </w:rPr>
        <w:t>五、</w:t>
      </w:r>
      <w:r>
        <w:rPr>
          <w:rFonts w:hint="eastAsia" w:asciiTheme="majorEastAsia" w:hAnsiTheme="majorEastAsia" w:eastAsiaTheme="majorEastAsia" w:cstheme="majorEastAsia"/>
          <w:b w:val="0"/>
          <w:color w:val="000000"/>
          <w:sz w:val="28"/>
          <w:szCs w:val="28"/>
        </w:rPr>
        <w:t>财</w:t>
      </w:r>
      <w:r>
        <w:rPr>
          <w:rStyle w:val="25"/>
          <w:rFonts w:hint="eastAsia" w:asciiTheme="majorEastAsia" w:hAnsiTheme="majorEastAsia" w:eastAsiaTheme="majorEastAsia" w:cstheme="majorEastAsia"/>
          <w:b w:val="0"/>
          <w:bCs w:val="0"/>
          <w:sz w:val="28"/>
          <w:szCs w:val="28"/>
        </w:rPr>
        <w:t>政拨款支出决算明细表（政府经济分类科目）</w:t>
      </w:r>
      <w:bookmarkEnd w:id="50"/>
    </w:p>
    <w:p>
      <w:pPr>
        <w:pStyle w:val="3"/>
        <w:rPr>
          <w:rFonts w:hint="eastAsia" w:asciiTheme="majorEastAsia" w:hAnsiTheme="majorEastAsia" w:eastAsiaTheme="majorEastAsia" w:cstheme="majorEastAsia"/>
          <w:color w:val="000000"/>
          <w:sz w:val="28"/>
          <w:szCs w:val="28"/>
        </w:rPr>
      </w:pPr>
      <w:bookmarkStart w:id="51" w:name="_Toc15396624"/>
      <w:r>
        <w:rPr>
          <w:rStyle w:val="25"/>
          <w:rFonts w:hint="eastAsia" w:asciiTheme="majorEastAsia" w:hAnsiTheme="majorEastAsia" w:eastAsiaTheme="majorEastAsia" w:cstheme="majorEastAsia"/>
          <w:b w:val="0"/>
          <w:bCs w:val="0"/>
          <w:sz w:val="28"/>
          <w:szCs w:val="28"/>
        </w:rPr>
        <w:t>六、</w:t>
      </w:r>
      <w:r>
        <w:rPr>
          <w:rFonts w:hint="eastAsia" w:asciiTheme="majorEastAsia" w:hAnsiTheme="majorEastAsia" w:eastAsiaTheme="majorEastAsia" w:cstheme="majorEastAsia"/>
          <w:b w:val="0"/>
          <w:color w:val="000000"/>
          <w:sz w:val="28"/>
          <w:szCs w:val="28"/>
        </w:rPr>
        <w:t>一</w:t>
      </w:r>
      <w:r>
        <w:rPr>
          <w:rStyle w:val="25"/>
          <w:rFonts w:hint="eastAsia" w:asciiTheme="majorEastAsia" w:hAnsiTheme="majorEastAsia" w:eastAsiaTheme="majorEastAsia" w:cstheme="majorEastAsia"/>
          <w:b w:val="0"/>
          <w:bCs w:val="0"/>
          <w:sz w:val="28"/>
          <w:szCs w:val="28"/>
        </w:rPr>
        <w:t>般公共预算财政拨款支出决算表</w:t>
      </w:r>
      <w:bookmarkEnd w:id="51"/>
    </w:p>
    <w:p>
      <w:pPr>
        <w:pStyle w:val="3"/>
        <w:rPr>
          <w:rFonts w:hint="eastAsia" w:asciiTheme="majorEastAsia" w:hAnsiTheme="majorEastAsia" w:eastAsiaTheme="majorEastAsia" w:cstheme="majorEastAsia"/>
          <w:color w:val="000000"/>
          <w:sz w:val="28"/>
          <w:szCs w:val="28"/>
        </w:rPr>
      </w:pPr>
      <w:bookmarkStart w:id="52" w:name="_Toc15396625"/>
      <w:r>
        <w:rPr>
          <w:rStyle w:val="25"/>
          <w:rFonts w:hint="eastAsia" w:asciiTheme="majorEastAsia" w:hAnsiTheme="majorEastAsia" w:eastAsiaTheme="majorEastAsia" w:cstheme="majorEastAsia"/>
          <w:b w:val="0"/>
          <w:bCs w:val="0"/>
          <w:sz w:val="28"/>
          <w:szCs w:val="28"/>
        </w:rPr>
        <w:t>七、</w:t>
      </w:r>
      <w:r>
        <w:rPr>
          <w:rFonts w:hint="eastAsia" w:asciiTheme="majorEastAsia" w:hAnsiTheme="majorEastAsia" w:eastAsiaTheme="majorEastAsia" w:cstheme="majorEastAsia"/>
          <w:b w:val="0"/>
          <w:color w:val="000000"/>
          <w:sz w:val="28"/>
          <w:szCs w:val="28"/>
        </w:rPr>
        <w:t>一</w:t>
      </w:r>
      <w:r>
        <w:rPr>
          <w:rStyle w:val="25"/>
          <w:rFonts w:hint="eastAsia" w:asciiTheme="majorEastAsia" w:hAnsiTheme="majorEastAsia" w:eastAsiaTheme="majorEastAsia" w:cstheme="majorEastAsia"/>
          <w:b w:val="0"/>
          <w:bCs w:val="0"/>
          <w:sz w:val="28"/>
          <w:szCs w:val="28"/>
        </w:rPr>
        <w:t>般公共预算财政拨款支出决算明细表</w:t>
      </w:r>
      <w:bookmarkEnd w:id="52"/>
    </w:p>
    <w:p>
      <w:pPr>
        <w:pStyle w:val="3"/>
        <w:rPr>
          <w:rFonts w:hint="eastAsia" w:asciiTheme="majorEastAsia" w:hAnsiTheme="majorEastAsia" w:eastAsiaTheme="majorEastAsia" w:cstheme="majorEastAsia"/>
          <w:color w:val="000000"/>
          <w:sz w:val="28"/>
          <w:szCs w:val="28"/>
        </w:rPr>
      </w:pPr>
      <w:bookmarkStart w:id="53" w:name="_Toc15396626"/>
      <w:r>
        <w:rPr>
          <w:rStyle w:val="25"/>
          <w:rFonts w:hint="eastAsia" w:asciiTheme="majorEastAsia" w:hAnsiTheme="majorEastAsia" w:eastAsiaTheme="majorEastAsia" w:cstheme="majorEastAsia"/>
          <w:b w:val="0"/>
          <w:bCs w:val="0"/>
          <w:sz w:val="28"/>
          <w:szCs w:val="28"/>
        </w:rPr>
        <w:t>八、</w:t>
      </w:r>
      <w:r>
        <w:rPr>
          <w:rFonts w:hint="eastAsia" w:asciiTheme="majorEastAsia" w:hAnsiTheme="majorEastAsia" w:eastAsiaTheme="majorEastAsia" w:cstheme="majorEastAsia"/>
          <w:b w:val="0"/>
          <w:color w:val="000000"/>
          <w:sz w:val="28"/>
          <w:szCs w:val="28"/>
        </w:rPr>
        <w:t>一</w:t>
      </w:r>
      <w:r>
        <w:rPr>
          <w:rStyle w:val="25"/>
          <w:rFonts w:hint="eastAsia" w:asciiTheme="majorEastAsia" w:hAnsiTheme="majorEastAsia" w:eastAsiaTheme="majorEastAsia" w:cstheme="majorEastAsia"/>
          <w:b w:val="0"/>
          <w:bCs w:val="0"/>
          <w:sz w:val="28"/>
          <w:szCs w:val="28"/>
        </w:rPr>
        <w:t>般公共预算财政拨款基本支出决算表</w:t>
      </w:r>
      <w:bookmarkEnd w:id="53"/>
    </w:p>
    <w:p>
      <w:pPr>
        <w:pStyle w:val="3"/>
        <w:rPr>
          <w:rFonts w:hint="eastAsia" w:asciiTheme="majorEastAsia" w:hAnsiTheme="majorEastAsia" w:eastAsiaTheme="majorEastAsia" w:cstheme="majorEastAsia"/>
          <w:color w:val="000000"/>
          <w:sz w:val="28"/>
          <w:szCs w:val="28"/>
        </w:rPr>
      </w:pPr>
      <w:bookmarkStart w:id="54" w:name="_Toc15396627"/>
      <w:r>
        <w:rPr>
          <w:rStyle w:val="25"/>
          <w:rFonts w:hint="eastAsia" w:asciiTheme="majorEastAsia" w:hAnsiTheme="majorEastAsia" w:eastAsiaTheme="majorEastAsia" w:cstheme="majorEastAsia"/>
          <w:b w:val="0"/>
          <w:bCs w:val="0"/>
          <w:sz w:val="28"/>
          <w:szCs w:val="28"/>
        </w:rPr>
        <w:t>九、</w:t>
      </w:r>
      <w:r>
        <w:rPr>
          <w:rFonts w:hint="eastAsia" w:asciiTheme="majorEastAsia" w:hAnsiTheme="majorEastAsia" w:eastAsiaTheme="majorEastAsia" w:cstheme="majorEastAsia"/>
          <w:b w:val="0"/>
          <w:color w:val="000000"/>
          <w:sz w:val="28"/>
          <w:szCs w:val="28"/>
        </w:rPr>
        <w:t>一</w:t>
      </w:r>
      <w:r>
        <w:rPr>
          <w:rStyle w:val="25"/>
          <w:rFonts w:hint="eastAsia" w:asciiTheme="majorEastAsia" w:hAnsiTheme="majorEastAsia" w:eastAsiaTheme="majorEastAsia" w:cstheme="majorEastAsia"/>
          <w:b w:val="0"/>
          <w:bCs w:val="0"/>
          <w:sz w:val="28"/>
          <w:szCs w:val="28"/>
        </w:rPr>
        <w:t>般公共预算财政拨款项目支出决算表</w:t>
      </w:r>
      <w:bookmarkEnd w:id="54"/>
    </w:p>
    <w:p>
      <w:pPr>
        <w:pStyle w:val="3"/>
        <w:rPr>
          <w:rFonts w:hint="eastAsia" w:asciiTheme="majorEastAsia" w:hAnsiTheme="majorEastAsia" w:eastAsiaTheme="majorEastAsia" w:cstheme="majorEastAsia"/>
          <w:color w:val="000000"/>
          <w:sz w:val="28"/>
          <w:szCs w:val="28"/>
        </w:rPr>
      </w:pPr>
      <w:bookmarkStart w:id="55" w:name="_Toc15396628"/>
      <w:r>
        <w:rPr>
          <w:rStyle w:val="25"/>
          <w:rFonts w:hint="eastAsia" w:asciiTheme="majorEastAsia" w:hAnsiTheme="majorEastAsia" w:eastAsiaTheme="majorEastAsia" w:cstheme="majorEastAsia"/>
          <w:b w:val="0"/>
          <w:bCs w:val="0"/>
          <w:sz w:val="28"/>
          <w:szCs w:val="28"/>
        </w:rPr>
        <w:t>十、</w:t>
      </w:r>
      <w:r>
        <w:rPr>
          <w:rFonts w:hint="eastAsia" w:asciiTheme="majorEastAsia" w:hAnsiTheme="majorEastAsia" w:eastAsiaTheme="majorEastAsia" w:cstheme="majorEastAsia"/>
          <w:b w:val="0"/>
          <w:color w:val="000000"/>
          <w:sz w:val="28"/>
          <w:szCs w:val="28"/>
        </w:rPr>
        <w:t>一</w:t>
      </w:r>
      <w:r>
        <w:rPr>
          <w:rStyle w:val="25"/>
          <w:rFonts w:hint="eastAsia" w:asciiTheme="majorEastAsia" w:hAnsiTheme="majorEastAsia" w:eastAsiaTheme="majorEastAsia" w:cstheme="majorEastAsia"/>
          <w:b w:val="0"/>
          <w:bCs w:val="0"/>
          <w:sz w:val="28"/>
          <w:szCs w:val="28"/>
        </w:rPr>
        <w:t>般公共预算财政拨款“三公”经费支出决算表</w:t>
      </w:r>
      <w:bookmarkEnd w:id="55"/>
    </w:p>
    <w:p>
      <w:pPr>
        <w:pStyle w:val="3"/>
        <w:rPr>
          <w:rFonts w:hint="eastAsia" w:asciiTheme="majorEastAsia" w:hAnsiTheme="majorEastAsia" w:eastAsiaTheme="majorEastAsia" w:cstheme="majorEastAsia"/>
          <w:color w:val="000000"/>
          <w:sz w:val="28"/>
          <w:szCs w:val="28"/>
        </w:rPr>
      </w:pPr>
      <w:bookmarkStart w:id="56" w:name="_Toc15396629"/>
      <w:r>
        <w:rPr>
          <w:rStyle w:val="25"/>
          <w:rFonts w:hint="eastAsia" w:asciiTheme="majorEastAsia" w:hAnsiTheme="majorEastAsia" w:eastAsiaTheme="majorEastAsia" w:cstheme="majorEastAsia"/>
          <w:b w:val="0"/>
          <w:bCs w:val="0"/>
          <w:sz w:val="28"/>
          <w:szCs w:val="28"/>
        </w:rPr>
        <w:t>十一、</w:t>
      </w:r>
      <w:r>
        <w:rPr>
          <w:rFonts w:hint="eastAsia" w:asciiTheme="majorEastAsia" w:hAnsiTheme="majorEastAsia" w:eastAsiaTheme="majorEastAsia" w:cstheme="majorEastAsia"/>
          <w:b w:val="0"/>
          <w:color w:val="000000"/>
          <w:sz w:val="28"/>
          <w:szCs w:val="28"/>
        </w:rPr>
        <w:t>政</w:t>
      </w:r>
      <w:r>
        <w:rPr>
          <w:rStyle w:val="25"/>
          <w:rFonts w:hint="eastAsia" w:asciiTheme="majorEastAsia" w:hAnsiTheme="majorEastAsia" w:eastAsiaTheme="majorEastAsia" w:cstheme="majorEastAsia"/>
          <w:b w:val="0"/>
          <w:bCs w:val="0"/>
          <w:sz w:val="28"/>
          <w:szCs w:val="28"/>
        </w:rPr>
        <w:t>府性基金预算财政拨款收入支出决算表</w:t>
      </w:r>
      <w:bookmarkEnd w:id="56"/>
    </w:p>
    <w:p>
      <w:pPr>
        <w:pStyle w:val="3"/>
        <w:rPr>
          <w:rFonts w:hint="eastAsia" w:asciiTheme="majorEastAsia" w:hAnsiTheme="majorEastAsia" w:eastAsiaTheme="majorEastAsia" w:cstheme="majorEastAsia"/>
          <w:color w:val="000000"/>
          <w:sz w:val="28"/>
          <w:szCs w:val="28"/>
        </w:rPr>
      </w:pPr>
      <w:bookmarkStart w:id="57" w:name="_Toc15396630"/>
      <w:r>
        <w:rPr>
          <w:rStyle w:val="25"/>
          <w:rFonts w:hint="eastAsia" w:asciiTheme="majorEastAsia" w:hAnsiTheme="majorEastAsia" w:eastAsiaTheme="majorEastAsia" w:cstheme="majorEastAsia"/>
          <w:b w:val="0"/>
          <w:bCs w:val="0"/>
          <w:sz w:val="28"/>
          <w:szCs w:val="28"/>
        </w:rPr>
        <w:t>十二、</w:t>
      </w:r>
      <w:r>
        <w:rPr>
          <w:rFonts w:hint="eastAsia" w:asciiTheme="majorEastAsia" w:hAnsiTheme="majorEastAsia" w:eastAsiaTheme="majorEastAsia" w:cstheme="majorEastAsia"/>
          <w:b w:val="0"/>
          <w:color w:val="000000"/>
          <w:sz w:val="28"/>
          <w:szCs w:val="28"/>
        </w:rPr>
        <w:t>政</w:t>
      </w:r>
      <w:r>
        <w:rPr>
          <w:rStyle w:val="25"/>
          <w:rFonts w:hint="eastAsia" w:asciiTheme="majorEastAsia" w:hAnsiTheme="majorEastAsia" w:eastAsiaTheme="majorEastAsia" w:cstheme="majorEastAsia"/>
          <w:b w:val="0"/>
          <w:bCs w:val="0"/>
          <w:sz w:val="28"/>
          <w:szCs w:val="28"/>
        </w:rPr>
        <w:t>府性基金预算财政拨款“三公”经费支出决算表</w:t>
      </w:r>
      <w:bookmarkEnd w:id="57"/>
    </w:p>
    <w:p>
      <w:pPr>
        <w:pStyle w:val="3"/>
        <w:rPr>
          <w:rStyle w:val="25"/>
          <w:rFonts w:hint="eastAsia" w:asciiTheme="majorEastAsia" w:hAnsiTheme="majorEastAsia" w:eastAsiaTheme="majorEastAsia" w:cstheme="majorEastAsia"/>
          <w:b w:val="0"/>
          <w:bCs w:val="0"/>
          <w:sz w:val="28"/>
          <w:szCs w:val="28"/>
        </w:rPr>
      </w:pPr>
      <w:bookmarkStart w:id="58" w:name="_Toc15396631"/>
      <w:r>
        <w:rPr>
          <w:rStyle w:val="25"/>
          <w:rFonts w:hint="eastAsia" w:asciiTheme="majorEastAsia" w:hAnsiTheme="majorEastAsia" w:eastAsiaTheme="majorEastAsia" w:cstheme="majorEastAsia"/>
          <w:b w:val="0"/>
          <w:bCs w:val="0"/>
          <w:sz w:val="28"/>
          <w:szCs w:val="28"/>
        </w:rPr>
        <w:t>十三、</w:t>
      </w:r>
      <w:r>
        <w:rPr>
          <w:rFonts w:hint="eastAsia" w:asciiTheme="majorEastAsia" w:hAnsiTheme="majorEastAsia" w:eastAsiaTheme="majorEastAsia" w:cstheme="majorEastAsia"/>
          <w:b w:val="0"/>
          <w:color w:val="000000"/>
          <w:sz w:val="28"/>
          <w:szCs w:val="28"/>
        </w:rPr>
        <w:t>国</w:t>
      </w:r>
      <w:r>
        <w:rPr>
          <w:rStyle w:val="25"/>
          <w:rFonts w:hint="eastAsia" w:asciiTheme="majorEastAsia" w:hAnsiTheme="majorEastAsia" w:eastAsiaTheme="majorEastAsia" w:cstheme="majorEastAsia"/>
          <w:b w:val="0"/>
          <w:bCs w:val="0"/>
          <w:sz w:val="28"/>
          <w:szCs w:val="28"/>
        </w:rPr>
        <w:t>有资本经营预算支出决算表</w:t>
      </w:r>
      <w:bookmarkEnd w:id="58"/>
    </w:p>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附表：四川省达州市开江县新宁镇第三小学（本级）</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HYPERLINK "开江县八庙初级中学2018年决算公开表.XLS" </w:instrText>
      </w:r>
      <w:r>
        <w:rPr>
          <w:rFonts w:hint="eastAsia" w:ascii="宋体" w:hAnsi="宋体" w:eastAsia="宋体" w:cs="宋体"/>
          <w:sz w:val="28"/>
          <w:szCs w:val="28"/>
          <w:lang w:eastAsia="zh-CN"/>
        </w:rPr>
        <w:fldChar w:fldCharType="separate"/>
      </w:r>
      <w:r>
        <w:rPr>
          <w:rStyle w:val="15"/>
          <w:rFonts w:hint="eastAsia" w:ascii="宋体" w:hAnsi="宋体" w:eastAsia="宋体" w:cs="宋体"/>
          <w:sz w:val="28"/>
          <w:szCs w:val="28"/>
          <w:lang w:eastAsia="zh-CN"/>
        </w:rPr>
        <w:t>开江县新宁镇第四小学2018年决算公开表.XLS</w:t>
      </w:r>
      <w:r>
        <w:rPr>
          <w:rFonts w:hint="eastAsia" w:ascii="宋体" w:hAnsi="宋体" w:eastAsia="宋体" w:cs="宋体"/>
          <w:sz w:val="28"/>
          <w:szCs w:val="28"/>
          <w:lang w:eastAsia="zh-CN"/>
        </w:rPr>
        <w:fldChar w:fldCharType="end"/>
      </w:r>
    </w:p>
    <w:p>
      <w:pPr>
        <w:pStyle w:val="22"/>
        <w:spacing w:line="560" w:lineRule="exact"/>
        <w:ind w:firstLine="560" w:firstLineChars="200"/>
        <w:jc w:val="right"/>
        <w:rPr>
          <w:rFonts w:hint="eastAsia" w:ascii="宋体" w:hAnsi="宋体" w:eastAsia="宋体" w:cs="宋体"/>
          <w:sz w:val="28"/>
          <w:szCs w:val="28"/>
          <w:lang w:eastAsia="zh-CN"/>
        </w:rPr>
      </w:pPr>
    </w:p>
    <w:p>
      <w:pPr>
        <w:pStyle w:val="22"/>
        <w:spacing w:line="560" w:lineRule="exact"/>
        <w:ind w:firstLine="560" w:firstLineChars="20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开江县新宁镇四小学</w:t>
      </w:r>
    </w:p>
    <w:p>
      <w:pPr>
        <w:pStyle w:val="22"/>
        <w:spacing w:line="560" w:lineRule="exact"/>
        <w:ind w:firstLine="560" w:firstLineChars="200"/>
        <w:jc w:val="right"/>
        <w:rPr>
          <w:rFonts w:ascii="仿宋" w:hAnsi="仿宋" w:eastAsia="仿宋"/>
          <w:color w:val="000000" w:themeColor="text1"/>
          <w14:textFill>
            <w14:solidFill>
              <w14:schemeClr w14:val="tx1"/>
            </w14:solidFill>
          </w14:textFill>
        </w:rPr>
      </w:pPr>
      <w:r>
        <w:rPr>
          <w:rFonts w:hint="eastAsia" w:ascii="宋体" w:hAnsi="宋体" w:eastAsia="宋体" w:cs="宋体"/>
          <w:sz w:val="28"/>
          <w:szCs w:val="28"/>
          <w:lang w:val="en-US" w:eastAsia="zh-CN"/>
        </w:rPr>
        <w:t>2019年9月20日</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46350"/>
    <w:multiLevelType w:val="singleLevel"/>
    <w:tmpl w:val="B4546350"/>
    <w:lvl w:ilvl="0" w:tentative="0">
      <w:start w:val="2"/>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3E96201"/>
    <w:rsid w:val="07060485"/>
    <w:rsid w:val="10C055FF"/>
    <w:rsid w:val="16BB723D"/>
    <w:rsid w:val="17BF1629"/>
    <w:rsid w:val="198D6B7B"/>
    <w:rsid w:val="240371BF"/>
    <w:rsid w:val="258E6501"/>
    <w:rsid w:val="2696693F"/>
    <w:rsid w:val="26EF6E9C"/>
    <w:rsid w:val="279D4AED"/>
    <w:rsid w:val="29FD04D3"/>
    <w:rsid w:val="2E1E4CB2"/>
    <w:rsid w:val="319F7F4E"/>
    <w:rsid w:val="36B61FD2"/>
    <w:rsid w:val="3A1B5009"/>
    <w:rsid w:val="42E74E15"/>
    <w:rsid w:val="438301E7"/>
    <w:rsid w:val="46BA1FDC"/>
    <w:rsid w:val="52701E90"/>
    <w:rsid w:val="5BCD6AA3"/>
    <w:rsid w:val="6585325F"/>
    <w:rsid w:val="7A472276"/>
    <w:rsid w:val="7A5E6F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16</TotalTime>
  <ScaleCrop>false</ScaleCrop>
  <LinksUpToDate>false</LinksUpToDate>
  <CharactersWithSpaces>9641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2021-06-03T05:31:06Z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F71F0C1386124D73B17339533C938B6B</vt:lpwstr>
  </property>
</Properties>
</file>