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8" w:lineRule="atLeast"/>
        <w:jc w:val="center"/>
        <w:textAlignment w:val="auto"/>
        <w:outlineLvl w:val="0"/>
        <w:rPr>
          <w:rFonts w:ascii="方正小标宋简体" w:hAnsi="宋体" w:eastAsia="方正小标宋简体"/>
          <w:color w:val="000000"/>
          <w:sz w:val="72"/>
          <w:szCs w:val="72"/>
        </w:rPr>
      </w:pPr>
      <w:bookmarkStart w:id="0" w:name="_Toc15306267"/>
    </w:p>
    <w:p>
      <w:pPr>
        <w:pageBreakBefore w:val="0"/>
        <w:kinsoku/>
        <w:wordWrap/>
        <w:overflowPunct/>
        <w:topLinePunct w:val="0"/>
        <w:bidi w:val="0"/>
        <w:spacing w:line="578" w:lineRule="atLeast"/>
        <w:jc w:val="center"/>
        <w:textAlignment w:val="auto"/>
        <w:outlineLvl w:val="0"/>
        <w:rPr>
          <w:rFonts w:ascii="方正小标宋简体" w:hAnsi="宋体" w:eastAsia="方正小标宋简体"/>
          <w:color w:val="000000"/>
          <w:sz w:val="72"/>
          <w:szCs w:val="72"/>
        </w:rPr>
      </w:pPr>
    </w:p>
    <w:p>
      <w:pPr>
        <w:pageBreakBefore w:val="0"/>
        <w:kinsoku/>
        <w:wordWrap/>
        <w:overflowPunct/>
        <w:topLinePunct w:val="0"/>
        <w:bidi w:val="0"/>
        <w:spacing w:line="578" w:lineRule="atLeast"/>
        <w:jc w:val="center"/>
        <w:textAlignment w:val="auto"/>
        <w:outlineLvl w:val="0"/>
        <w:rPr>
          <w:rFonts w:ascii="方正小标宋简体" w:hAnsi="宋体" w:eastAsia="方正小标宋简体"/>
          <w:color w:val="000000"/>
          <w:sz w:val="72"/>
          <w:szCs w:val="72"/>
        </w:rPr>
      </w:pPr>
    </w:p>
    <w:p>
      <w:pPr>
        <w:pageBreakBefore w:val="0"/>
        <w:kinsoku/>
        <w:wordWrap/>
        <w:overflowPunct/>
        <w:topLinePunct w:val="0"/>
        <w:bidi w:val="0"/>
        <w:spacing w:line="578" w:lineRule="atLeast"/>
        <w:jc w:val="center"/>
        <w:textAlignment w:val="auto"/>
        <w:outlineLvl w:val="0"/>
        <w:rPr>
          <w:rFonts w:ascii="方正小标宋简体" w:hAnsi="宋体" w:eastAsia="方正小标宋简体"/>
          <w:color w:val="000000"/>
          <w:sz w:val="72"/>
          <w:szCs w:val="72"/>
        </w:rPr>
      </w:pPr>
    </w:p>
    <w:p>
      <w:pPr>
        <w:pageBreakBefore w:val="0"/>
        <w:kinsoku/>
        <w:wordWrap/>
        <w:overflowPunct/>
        <w:topLinePunct w:val="0"/>
        <w:bidi w:val="0"/>
        <w:adjustRightInd w:val="0"/>
        <w:snapToGrid w:val="0"/>
        <w:spacing w:line="578" w:lineRule="atLeast"/>
        <w:jc w:val="center"/>
        <w:textAlignment w:val="auto"/>
        <w:outlineLvl w:val="0"/>
        <w:rPr>
          <w:rFonts w:ascii="方正小标宋简体" w:hAnsi="宋体" w:eastAsia="方正小标宋简体"/>
          <w:color w:val="000000"/>
          <w:sz w:val="72"/>
          <w:szCs w:val="72"/>
        </w:rPr>
      </w:pPr>
      <w:bookmarkStart w:id="1" w:name="_Toc15377425"/>
      <w:bookmarkStart w:id="2" w:name="_Toc15396597"/>
      <w:bookmarkStart w:id="3" w:name="_Toc15378441"/>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pageBreakBefore w:val="0"/>
        <w:kinsoku/>
        <w:wordWrap/>
        <w:overflowPunct/>
        <w:topLinePunct w:val="0"/>
        <w:bidi w:val="0"/>
        <w:adjustRightInd w:val="0"/>
        <w:snapToGrid w:val="0"/>
        <w:spacing w:line="578" w:lineRule="atLeast"/>
        <w:jc w:val="center"/>
        <w:textAlignment w:val="auto"/>
        <w:outlineLvl w:val="0"/>
        <w:rPr>
          <w:rFonts w:ascii="方正小标宋简体" w:hAnsi="宋体" w:eastAsia="方正小标宋简体"/>
          <w:color w:val="000000"/>
          <w:sz w:val="72"/>
          <w:szCs w:val="72"/>
        </w:rPr>
      </w:pPr>
      <w:bookmarkStart w:id="6" w:name="_Toc15396476"/>
      <w:bookmarkStart w:id="7" w:name="_Toc15396598"/>
      <w:bookmarkStart w:id="8" w:name="_Toc15377426"/>
      <w:bookmarkStart w:id="9" w:name="_Toc15377194"/>
      <w:bookmarkStart w:id="10" w:name="_Toc15378442"/>
      <w:bookmarkStart w:id="11" w:name="_Toc15306268"/>
      <w:r>
        <w:rPr>
          <w:rFonts w:hint="eastAsia" w:ascii="方正小标宋简体" w:hAnsi="宋体" w:eastAsia="方正小标宋简体"/>
          <w:color w:val="000000"/>
          <w:sz w:val="72"/>
          <w:szCs w:val="72"/>
          <w:lang w:eastAsia="zh-CN"/>
        </w:rPr>
        <w:t>四川省科学技术协会</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pageBreakBefore w:val="0"/>
        <w:widowControl/>
        <w:kinsoku/>
        <w:wordWrap/>
        <w:overflowPunct/>
        <w:topLinePunct w:val="0"/>
        <w:bidi w:val="0"/>
        <w:spacing w:line="578" w:lineRule="atLeast"/>
        <w:jc w:val="center"/>
        <w:textAlignment w:val="auto"/>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ageBreakBefore w:val="0"/>
        <w:widowControl/>
        <w:kinsoku/>
        <w:wordWrap/>
        <w:overflowPunct/>
        <w:topLinePunct w:val="0"/>
        <w:bidi w:val="0"/>
        <w:spacing w:line="578" w:lineRule="atLeast"/>
        <w:jc w:val="center"/>
        <w:textAlignment w:val="auto"/>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ageBreakBefore w:val="0"/>
        <w:kinsoku/>
        <w:wordWrap/>
        <w:overflowPunct/>
        <w:topLinePunct w:val="0"/>
        <w:bidi w:val="0"/>
        <w:spacing w:line="578" w:lineRule="atLeast"/>
        <w:textAlignment w:val="auto"/>
      </w:pPr>
    </w:p>
    <w:p>
      <w:pPr>
        <w:pStyle w:val="10"/>
        <w:pageBreakBefore w:val="0"/>
        <w:kinsoku/>
        <w:wordWrap/>
        <w:overflowPunct/>
        <w:topLinePunct w:val="0"/>
        <w:bidi w:val="0"/>
        <w:spacing w:line="578" w:lineRule="atLeast"/>
        <w:textAlignment w:val="auto"/>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ageBreakBefore w:val="0"/>
        <w:kinsoku/>
        <w:wordWrap/>
        <w:overflowPunct/>
        <w:topLinePunct w:val="0"/>
        <w:bidi w:val="0"/>
        <w:spacing w:line="578" w:lineRule="atLeast"/>
        <w:textAlignment w:val="auto"/>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pageBreakBefore w:val="0"/>
        <w:kinsoku/>
        <w:wordWrap/>
        <w:overflowPunct/>
        <w:topLinePunct w:val="0"/>
        <w:bidi w:val="0"/>
        <w:spacing w:line="578" w:lineRule="atLeast"/>
        <w:textAlignment w:val="auto"/>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pageBreakBefore w:val="0"/>
        <w:kinsoku/>
        <w:wordWrap/>
        <w:overflowPunct/>
        <w:topLinePunct w:val="0"/>
        <w:bidi w:val="0"/>
        <w:spacing w:line="578" w:lineRule="atLeast"/>
        <w:textAlignment w:val="auto"/>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pageBreakBefore w:val="0"/>
        <w:kinsoku/>
        <w:wordWrap/>
        <w:overflowPunct/>
        <w:topLinePunct w:val="0"/>
        <w:bidi w:val="0"/>
        <w:spacing w:line="578" w:lineRule="atLeast"/>
        <w:textAlignment w:val="auto"/>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8" w:lineRule="atLeast"/>
        <w:textAlignment w:val="auto"/>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ageBreakBefore w:val="0"/>
        <w:widowControl/>
        <w:kinsoku/>
        <w:wordWrap/>
        <w:overflowPunct/>
        <w:topLinePunct w:val="0"/>
        <w:bidi w:val="0"/>
        <w:spacing w:line="578" w:lineRule="atLeast"/>
        <w:jc w:val="left"/>
        <w:textAlignment w:val="auto"/>
        <w:rPr>
          <w:rFonts w:ascii="仿宋" w:hAnsi="仿宋" w:eastAsia="仿宋"/>
          <w:color w:val="000000"/>
          <w:sz w:val="24"/>
        </w:rPr>
      </w:pPr>
      <w:r>
        <w:rPr>
          <w:rFonts w:ascii="仿宋" w:hAnsi="仿宋" w:eastAsia="仿宋"/>
          <w:color w:val="000000"/>
          <w:sz w:val="24"/>
        </w:rPr>
        <w:fldChar w:fldCharType="end"/>
      </w:r>
    </w:p>
    <w:p>
      <w:pPr>
        <w:pageBreakBefore w:val="0"/>
        <w:widowControl/>
        <w:kinsoku/>
        <w:wordWrap/>
        <w:overflowPunct/>
        <w:topLinePunct w:val="0"/>
        <w:bidi w:val="0"/>
        <w:spacing w:line="578" w:lineRule="atLeast"/>
        <w:jc w:val="left"/>
        <w:textAlignment w:val="auto"/>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pageBreakBefore w:val="0"/>
        <w:kinsoku/>
        <w:wordWrap/>
        <w:overflowPunct/>
        <w:topLinePunct w:val="0"/>
        <w:bidi w:val="0"/>
        <w:spacing w:line="578" w:lineRule="atLeast"/>
        <w:jc w:val="center"/>
        <w:textAlignment w:val="auto"/>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ageBreakBefore w:val="0"/>
        <w:widowControl/>
        <w:kinsoku/>
        <w:wordWrap/>
        <w:overflowPunct/>
        <w:topLinePunct w:val="0"/>
        <w:bidi w:val="0"/>
        <w:spacing w:line="578" w:lineRule="atLeast"/>
        <w:jc w:val="left"/>
        <w:textAlignment w:val="auto"/>
        <w:rPr>
          <w:rFonts w:ascii="黑体" w:eastAsia="黑体"/>
          <w:color w:val="000000"/>
          <w:sz w:val="32"/>
          <w:szCs w:val="32"/>
        </w:rPr>
      </w:pPr>
    </w:p>
    <w:p>
      <w:pPr>
        <w:pStyle w:val="3"/>
        <w:pageBreakBefore w:val="0"/>
        <w:kinsoku/>
        <w:wordWrap/>
        <w:overflowPunct/>
        <w:topLinePunct w:val="0"/>
        <w:bidi w:val="0"/>
        <w:spacing w:line="578" w:lineRule="atLeast"/>
        <w:ind w:firstLine="640" w:firstLineChars="200"/>
        <w:textAlignment w:val="auto"/>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pageBreakBefore w:val="0"/>
        <w:kinsoku/>
        <w:wordWrap/>
        <w:overflowPunct/>
        <w:topLinePunct w:val="0"/>
        <w:bidi w:val="0"/>
        <w:adjustRightInd w:val="0"/>
        <w:snapToGrid w:val="0"/>
        <w:spacing w:before="93" w:line="578" w:lineRule="atLeast"/>
        <w:ind w:firstLine="672" w:firstLineChars="210"/>
        <w:textAlignment w:val="auto"/>
        <w:outlineLvl w:val="2"/>
        <w:rPr>
          <w:rFonts w:hint="eastAsia" w:ascii="楷体" w:hAnsi="楷体" w:eastAsia="楷体" w:cs="楷体"/>
          <w:bCs/>
          <w:color w:val="000000"/>
          <w:sz w:val="32"/>
          <w:szCs w:val="32"/>
        </w:rPr>
      </w:pPr>
      <w:bookmarkStart w:id="16" w:name="_Toc15378445"/>
      <w:bookmarkStart w:id="17" w:name="_Toc15377198"/>
      <w:r>
        <w:rPr>
          <w:rFonts w:hint="eastAsia" w:ascii="楷体" w:hAnsi="楷体" w:eastAsia="楷体" w:cs="楷体"/>
          <w:bCs/>
          <w:color w:val="000000"/>
          <w:sz w:val="32"/>
          <w:szCs w:val="32"/>
        </w:rPr>
        <w:t>（一）主要职能</w:t>
      </w:r>
      <w:bookmarkEnd w:id="16"/>
      <w:bookmarkEnd w:id="17"/>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1、开展学术交流，活跃学术思想，促进学科发展。</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2、负责全县科学技术普及工作，弘扬科学精神，普及科学知识，传播科学思想和科学方法，捍卫科学尊严，推广先进实用技术，开展青少年科学技术教育活动，提高全民族科学文化素质。</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3、反映科学技术工作者的意见和要求，维护科学技术工作者的合法权益。参与全县科学技术政策、法规制定和重大事务的政治协商、科学决簧、民主监督等工作。</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4、统筹掌握、管理使用全县科普专项经费。</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5、表彰奖励优秀学术论文、优秀科技工作者，举荐人才。</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6、开展科学论证，咨询服务，提出政策建议，促进科学技术成果的转化，接受委托承担项目评估、成果鉴定、专业技术职务评审等任务。</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7、开展民间国际科技交流活动，开展继续教育和技术培训工作。</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8、兴办符合开江县科协宗旨的社会公益性事业。</w:t>
      </w:r>
    </w:p>
    <w:p>
      <w:pPr>
        <w:pStyle w:val="5"/>
        <w:pageBreakBefore w:val="0"/>
        <w:kinsoku/>
        <w:wordWrap/>
        <w:overflowPunct/>
        <w:topLinePunct w:val="0"/>
        <w:bidi w:val="0"/>
        <w:adjustRightInd w:val="0"/>
        <w:snapToGrid w:val="0"/>
        <w:spacing w:before="93" w:line="578" w:lineRule="atLeast"/>
        <w:ind w:firstLine="504" w:firstLineChars="210"/>
        <w:textAlignment w:val="auto"/>
        <w:outlineLvl w:val="2"/>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9、作为自然科学、技术科学、工程技术学要放科普类的全县性学会、协会、研究会和县属企事业科协的主管机关，负责对其审批、年审及业务管理工作。对乡镇科协和农村专业技术协会（研究会）等基层组织进行业务指导。</w:t>
      </w:r>
      <w:bookmarkStart w:id="18" w:name="_Toc15378446"/>
      <w:bookmarkStart w:id="19" w:name="_Toc15377199"/>
    </w:p>
    <w:p>
      <w:pPr>
        <w:pStyle w:val="5"/>
        <w:pageBreakBefore w:val="0"/>
        <w:kinsoku/>
        <w:wordWrap/>
        <w:overflowPunct/>
        <w:topLinePunct w:val="0"/>
        <w:bidi w:val="0"/>
        <w:adjustRightInd w:val="0"/>
        <w:snapToGrid w:val="0"/>
        <w:spacing w:before="93" w:line="578" w:lineRule="atLeast"/>
        <w:ind w:firstLine="672" w:firstLineChars="210"/>
        <w:textAlignment w:val="auto"/>
        <w:outlineLvl w:val="2"/>
        <w:rPr>
          <w:rFonts w:hint="eastAsia" w:ascii="仿宋" w:hAnsi="仿宋" w:eastAsia="仿宋"/>
          <w:bCs/>
          <w:color w:val="000000"/>
          <w:sz w:val="32"/>
          <w:szCs w:val="32"/>
        </w:rPr>
      </w:pPr>
      <w:r>
        <w:rPr>
          <w:rFonts w:hint="eastAsia" w:ascii="楷体" w:hAnsi="楷体" w:eastAsia="楷体" w:cs="楷体"/>
          <w:bCs/>
          <w:color w:val="000000"/>
          <w:sz w:val="32"/>
          <w:szCs w:val="32"/>
        </w:rPr>
        <w:t>（二）2018年重点工作完成情况</w:t>
      </w:r>
      <w:bookmarkEnd w:id="18"/>
      <w:bookmarkEnd w:id="19"/>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1、推进《全民科学素质纲要》实施工作。</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2、大力开展科普宣传月、科技活动周、科普进学校、全国科普日等科普活动。</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3、举办全县青少年科技辅导员培训会。</w:t>
      </w:r>
    </w:p>
    <w:p>
      <w:pPr>
        <w:pageBreakBefore w:val="0"/>
        <w:kinsoku/>
        <w:wordWrap/>
        <w:overflowPunct/>
        <w:topLinePunct w:val="0"/>
        <w:bidi w:val="0"/>
        <w:snapToGrid w:val="0"/>
        <w:spacing w:line="578" w:lineRule="atLeast"/>
        <w:ind w:firstLine="480" w:firstLineChars="200"/>
        <w:textAlignment w:val="auto"/>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微软雅黑" w:hAnsi="微软雅黑" w:eastAsia="微软雅黑" w:cs="微软雅黑"/>
          <w:i w:val="0"/>
          <w:caps w:val="0"/>
          <w:color w:val="555555"/>
          <w:spacing w:val="0"/>
          <w:kern w:val="0"/>
          <w:sz w:val="24"/>
          <w:szCs w:val="24"/>
          <w:shd w:val="clear" w:fill="FFFFFF"/>
          <w:lang w:val="en-US" w:eastAsia="zh-CN" w:bidi="ar"/>
        </w:rPr>
        <w:t>4、坚持学术交流是学会工作的生命线，开展开江县第三届优秀科技论文征集评选工作。</w:t>
      </w:r>
    </w:p>
    <w:p>
      <w:pPr>
        <w:pStyle w:val="3"/>
        <w:keepNext/>
        <w:keepLines/>
        <w:pageBreakBefore w:val="0"/>
        <w:widowControl w:val="0"/>
        <w:kinsoku/>
        <w:wordWrap/>
        <w:overflowPunct/>
        <w:topLinePunct w:val="0"/>
        <w:autoSpaceDE/>
        <w:autoSpaceDN/>
        <w:bidi w:val="0"/>
        <w:adjustRightInd/>
        <w:snapToGrid/>
        <w:spacing w:before="20" w:after="20" w:line="578" w:lineRule="atLeast"/>
        <w:ind w:firstLine="480" w:firstLineChars="200"/>
        <w:textAlignment w:val="auto"/>
        <w:rPr>
          <w:rFonts w:hint="eastAsia" w:ascii="微软雅黑" w:hAnsi="微软雅黑" w:eastAsia="微软雅黑" w:cs="微软雅黑"/>
          <w:b w:val="0"/>
          <w:bCs w:val="0"/>
          <w:i w:val="0"/>
          <w:caps w:val="0"/>
          <w:color w:val="555555"/>
          <w:spacing w:val="0"/>
          <w:kern w:val="0"/>
          <w:sz w:val="24"/>
          <w:szCs w:val="24"/>
          <w:shd w:val="clear" w:fill="FFFFFF"/>
          <w:lang w:val="en-US" w:eastAsia="zh-CN" w:bidi="ar"/>
        </w:rPr>
      </w:pPr>
      <w:r>
        <w:rPr>
          <w:rFonts w:hint="eastAsia" w:ascii="微软雅黑" w:hAnsi="微软雅黑" w:eastAsia="微软雅黑" w:cs="微软雅黑"/>
          <w:b w:val="0"/>
          <w:bCs w:val="0"/>
          <w:i w:val="0"/>
          <w:caps w:val="0"/>
          <w:color w:val="555555"/>
          <w:spacing w:val="0"/>
          <w:kern w:val="0"/>
          <w:sz w:val="24"/>
          <w:szCs w:val="24"/>
          <w:shd w:val="clear" w:fill="FFFFFF"/>
          <w:lang w:val="en-US" w:eastAsia="zh-CN" w:bidi="ar"/>
        </w:rPr>
        <w:t>5、</w:t>
      </w:r>
      <w:bookmarkStart w:id="20" w:name="_Toc15396601"/>
      <w:bookmarkStart w:id="21" w:name="_Toc15377200"/>
      <w:r>
        <w:rPr>
          <w:rFonts w:hint="eastAsia" w:ascii="微软雅黑" w:hAnsi="微软雅黑" w:eastAsia="微软雅黑" w:cs="微软雅黑"/>
          <w:b w:val="0"/>
          <w:bCs w:val="0"/>
          <w:i w:val="0"/>
          <w:caps w:val="0"/>
          <w:color w:val="555555"/>
          <w:spacing w:val="0"/>
          <w:kern w:val="0"/>
          <w:sz w:val="24"/>
          <w:szCs w:val="24"/>
          <w:shd w:val="clear" w:fill="FFFFFF"/>
          <w:lang w:val="en-US" w:eastAsia="zh-CN" w:bidi="ar"/>
        </w:rPr>
        <w:t>在开江橄榄广场成功举办“5·30”全国第二个科技工作者日大型表扬活动。</w:t>
      </w:r>
    </w:p>
    <w:p>
      <w:pPr>
        <w:pStyle w:val="3"/>
        <w:keepNext/>
        <w:keepLines/>
        <w:pageBreakBefore w:val="0"/>
        <w:widowControl w:val="0"/>
        <w:kinsoku/>
        <w:wordWrap/>
        <w:overflowPunct/>
        <w:topLinePunct w:val="0"/>
        <w:autoSpaceDE/>
        <w:autoSpaceDN/>
        <w:bidi w:val="0"/>
        <w:adjustRightInd/>
        <w:snapToGrid/>
        <w:spacing w:before="20" w:after="20" w:line="578" w:lineRule="atLeast"/>
        <w:ind w:firstLine="640" w:firstLineChars="200"/>
        <w:textAlignment w:val="auto"/>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ageBreakBefore w:val="0"/>
        <w:widowControl/>
        <w:kinsoku/>
        <w:wordWrap/>
        <w:overflowPunct/>
        <w:topLinePunct w:val="0"/>
        <w:bidi w:val="0"/>
        <w:spacing w:line="578" w:lineRule="atLeast"/>
        <w:ind w:firstLine="480" w:firstLineChars="200"/>
        <w:jc w:val="left"/>
        <w:textAlignment w:val="auto"/>
        <w:rPr>
          <w:rFonts w:ascii="仿宋" w:hAnsi="仿宋" w:eastAsia="仿宋"/>
          <w:color w:val="000000"/>
          <w:sz w:val="32"/>
          <w:szCs w:val="32"/>
        </w:rPr>
      </w:pPr>
      <w:r>
        <w:rPr>
          <w:rFonts w:hint="eastAsia" w:ascii="微软雅黑" w:hAnsi="微软雅黑" w:eastAsia="微软雅黑" w:cs="微软雅黑"/>
          <w:i w:val="0"/>
          <w:caps w:val="0"/>
          <w:color w:val="555555"/>
          <w:spacing w:val="0"/>
          <w:kern w:val="0"/>
          <w:sz w:val="24"/>
          <w:szCs w:val="24"/>
          <w:shd w:val="clear" w:fill="FFFFFF"/>
          <w:lang w:val="en-US" w:eastAsia="zh-CN" w:bidi="ar"/>
        </w:rPr>
        <w:t>开江县科协是一级预算单位。内设办公室、普及部、学会部、反邪教协会办公室，下属事业单位科技咨询服务中心。</w:t>
      </w:r>
      <w:r>
        <w:rPr>
          <w:rFonts w:ascii="仿宋" w:hAnsi="仿宋" w:eastAsia="仿宋"/>
          <w:color w:val="000000"/>
          <w:sz w:val="32"/>
          <w:szCs w:val="32"/>
        </w:rPr>
        <w:br w:type="page"/>
      </w:r>
    </w:p>
    <w:p>
      <w:pPr>
        <w:pStyle w:val="2"/>
        <w:pageBreakBefore w:val="0"/>
        <w:kinsoku/>
        <w:wordWrap/>
        <w:overflowPunct/>
        <w:topLinePunct w:val="0"/>
        <w:bidi w:val="0"/>
        <w:spacing w:line="578" w:lineRule="atLeast"/>
        <w:ind w:right="440"/>
        <w:jc w:val="right"/>
        <w:textAlignment w:val="auto"/>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Pr>
        <w:pageBreakBefore w:val="0"/>
        <w:kinsoku/>
        <w:wordWrap/>
        <w:overflowPunct/>
        <w:topLinePunct w:val="0"/>
        <w:bidi w:val="0"/>
        <w:spacing w:line="578" w:lineRule="atLeast"/>
        <w:textAlignment w:val="auto"/>
      </w:pPr>
    </w:p>
    <w:p>
      <w:pPr>
        <w:pStyle w:val="24"/>
        <w:pageBreakBefore w:val="0"/>
        <w:numPr>
          <w:ilvl w:val="0"/>
          <w:numId w:val="1"/>
        </w:numPr>
        <w:kinsoku/>
        <w:wordWrap/>
        <w:overflowPunct/>
        <w:topLinePunct w:val="0"/>
        <w:bidi w:val="0"/>
        <w:spacing w:line="578" w:lineRule="atLeast"/>
        <w:ind w:firstLineChars="0"/>
        <w:textAlignment w:val="auto"/>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pageBreakBefore w:val="0"/>
        <w:kinsoku/>
        <w:wordWrap/>
        <w:overflowPunct/>
        <w:topLinePunct w:val="0"/>
        <w:bidi w:val="0"/>
        <w:spacing w:line="578" w:lineRule="atLeas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2018年度</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157.01万元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158.39万元，总计315.40，</w:t>
      </w:r>
      <w:r>
        <w:rPr>
          <w:rFonts w:hint="eastAsia" w:ascii="仿宋" w:hAnsi="仿宋" w:eastAsia="仿宋"/>
          <w:color w:val="000000"/>
          <w:sz w:val="32"/>
          <w:szCs w:val="32"/>
        </w:rPr>
        <w:t>万元。与2017年相比</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23.26万元，增加</w:t>
      </w:r>
      <w:r>
        <w:rPr>
          <w:rFonts w:hint="eastAsia" w:ascii="微软雅黑" w:hAnsi="微软雅黑" w:eastAsia="微软雅黑" w:cs="微软雅黑"/>
          <w:i w:val="0"/>
          <w:caps w:val="0"/>
          <w:color w:val="555555"/>
          <w:spacing w:val="0"/>
          <w:kern w:val="0"/>
          <w:sz w:val="24"/>
          <w:szCs w:val="24"/>
          <w:shd w:val="clear" w:fill="FFFFFF"/>
          <w:lang w:val="en-US" w:eastAsia="zh-CN" w:bidi="ar"/>
        </w:rPr>
        <w:t>17.39%</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出增加</w:t>
      </w:r>
      <w:r>
        <w:rPr>
          <w:rFonts w:hint="eastAsia" w:ascii="仿宋" w:hAnsi="仿宋" w:eastAsia="仿宋"/>
          <w:color w:val="000000"/>
          <w:sz w:val="32"/>
          <w:szCs w:val="32"/>
          <w:lang w:val="en-US" w:eastAsia="zh-CN"/>
        </w:rPr>
        <w:t>26.83万元，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20.39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增资及退休人员死亡一人后的抚恤金。</w:t>
      </w:r>
    </w:p>
    <w:p>
      <w:pPr>
        <w:pStyle w:val="24"/>
        <w:pageBreakBefore w:val="0"/>
        <w:numPr>
          <w:ilvl w:val="0"/>
          <w:numId w:val="0"/>
        </w:numPr>
        <w:kinsoku/>
        <w:wordWrap/>
        <w:overflowPunct/>
        <w:topLinePunct w:val="0"/>
        <w:bidi w:val="0"/>
        <w:spacing w:line="578" w:lineRule="atLeast"/>
        <w:ind w:firstLine="640" w:firstLineChars="200"/>
        <w:textAlignment w:val="auto"/>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pageBreakBefore w:val="0"/>
        <w:kinsoku/>
        <w:wordWrap/>
        <w:overflowPunct/>
        <w:topLinePunct w:val="0"/>
        <w:bidi w:val="0"/>
        <w:spacing w:line="578" w:lineRule="atLeast"/>
        <w:ind w:firstLine="640" w:firstLineChars="200"/>
        <w:textAlignment w:val="auto"/>
        <w:outlineLvl w:val="1"/>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157.01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157.01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，上年结转收入</w:t>
      </w:r>
      <w:r>
        <w:rPr>
          <w:rFonts w:hint="eastAsia" w:ascii="仿宋" w:hAnsi="仿宋" w:eastAsia="仿宋"/>
          <w:color w:val="000000"/>
          <w:sz w:val="32"/>
          <w:szCs w:val="32"/>
          <w:lang w:val="en-US" w:eastAsia="zh-CN"/>
        </w:rPr>
        <w:t>2.19万元。</w:t>
      </w:r>
    </w:p>
    <w:p>
      <w:pPr>
        <w:pStyle w:val="24"/>
        <w:pageBreakBefore w:val="0"/>
        <w:numPr>
          <w:ilvl w:val="0"/>
          <w:numId w:val="0"/>
        </w:numPr>
        <w:kinsoku/>
        <w:wordWrap/>
        <w:overflowPunct/>
        <w:topLinePunct w:val="0"/>
        <w:bidi w:val="0"/>
        <w:spacing w:line="578" w:lineRule="atLeast"/>
        <w:ind w:firstLine="640" w:firstLineChars="200"/>
        <w:textAlignment w:val="auto"/>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pageBreakBefore w:val="0"/>
        <w:kinsoku/>
        <w:wordWrap/>
        <w:overflowPunct/>
        <w:topLinePunct w:val="0"/>
        <w:bidi w:val="0"/>
        <w:spacing w:line="578" w:lineRule="atLeast"/>
        <w:ind w:firstLine="640"/>
        <w:textAlignment w:val="auto"/>
        <w:rPr>
          <w:rFonts w:hint="default" w:ascii="仿宋" w:hAnsi="仿宋" w:eastAsia="仿宋"/>
          <w:color w:val="000000"/>
          <w:sz w:val="32"/>
          <w:szCs w:val="32"/>
          <w:shd w:val="pct10" w:color="auto" w:fill="FFFFFF"/>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158.39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158.39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。，年末结转</w:t>
      </w:r>
      <w:r>
        <w:rPr>
          <w:rFonts w:hint="eastAsia" w:ascii="仿宋" w:hAnsi="仿宋" w:eastAsia="仿宋"/>
          <w:color w:val="000000"/>
          <w:sz w:val="32"/>
          <w:szCs w:val="32"/>
          <w:lang w:val="en-US" w:eastAsia="zh-CN"/>
        </w:rPr>
        <w:t>0.81万元。</w:t>
      </w:r>
    </w:p>
    <w:p>
      <w:pPr>
        <w:pageBreakBefore w:val="0"/>
        <w:kinsoku/>
        <w:wordWrap/>
        <w:overflowPunct/>
        <w:topLinePunct w:val="0"/>
        <w:bidi w:val="0"/>
        <w:spacing w:line="578" w:lineRule="atLeast"/>
        <w:ind w:firstLine="640" w:firstLineChars="200"/>
        <w:textAlignment w:val="auto"/>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578" w:lineRule="atLeas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315.40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7年相比，财政拨款收、支总计增加</w:t>
      </w:r>
      <w:r>
        <w:rPr>
          <w:rFonts w:hint="eastAsia" w:ascii="仿宋" w:hAnsi="仿宋" w:eastAsia="仿宋"/>
          <w:color w:val="000000"/>
          <w:sz w:val="32"/>
          <w:szCs w:val="32"/>
          <w:lang w:val="en-US" w:eastAsia="zh-CN"/>
        </w:rPr>
        <w:t>50.09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18.88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增资及退休人员死亡一人后的抚恤金。</w:t>
      </w:r>
    </w:p>
    <w:p>
      <w:pPr>
        <w:pageBreakBefore w:val="0"/>
        <w:kinsoku/>
        <w:wordWrap/>
        <w:overflowPunct/>
        <w:topLinePunct w:val="0"/>
        <w:bidi w:val="0"/>
        <w:spacing w:line="578" w:lineRule="atLeast"/>
        <w:ind w:firstLine="640" w:firstLineChars="200"/>
        <w:textAlignment w:val="auto"/>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578" w:lineRule="atLeast"/>
        <w:ind w:firstLine="643" w:firstLineChars="200"/>
        <w:textAlignment w:val="auto"/>
        <w:outlineLvl w:val="2"/>
        <w:rPr>
          <w:rFonts w:hint="eastAsia" w:ascii="楷体" w:hAnsi="楷体" w:eastAsia="楷体" w:cs="楷体"/>
          <w:b/>
          <w:color w:val="000000"/>
          <w:sz w:val="32"/>
          <w:szCs w:val="32"/>
        </w:rPr>
      </w:pPr>
      <w:bookmarkStart w:id="34" w:name="_Toc15377210"/>
      <w:r>
        <w:rPr>
          <w:rFonts w:hint="eastAsia" w:ascii="楷体" w:hAnsi="楷体" w:eastAsia="楷体" w:cs="楷体"/>
          <w:b/>
          <w:color w:val="000000"/>
          <w:sz w:val="32"/>
          <w:szCs w:val="32"/>
        </w:rPr>
        <w:t>（一）一般公共预算财政拨款支出决算总体情况</w:t>
      </w:r>
      <w:bookmarkEnd w:id="34"/>
    </w:p>
    <w:p>
      <w:pPr>
        <w:pageBreakBefore w:val="0"/>
        <w:kinsoku/>
        <w:wordWrap/>
        <w:overflowPunct/>
        <w:topLinePunct w:val="0"/>
        <w:bidi w:val="0"/>
        <w:spacing w:line="578" w:lineRule="atLeast"/>
        <w:ind w:firstLine="640" w:firstLineChars="200"/>
        <w:textAlignment w:val="auto"/>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158.39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26.83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20.39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增资及退休人员死亡一人后的抚恤金。</w:t>
      </w:r>
    </w:p>
    <w:p>
      <w:pPr>
        <w:pageBreakBefore w:val="0"/>
        <w:kinsoku/>
        <w:wordWrap/>
        <w:overflowPunct/>
        <w:topLinePunct w:val="0"/>
        <w:bidi w:val="0"/>
        <w:spacing w:line="578" w:lineRule="atLeast"/>
        <w:ind w:firstLine="643" w:firstLineChars="200"/>
        <w:textAlignment w:val="auto"/>
        <w:outlineLvl w:val="2"/>
        <w:rPr>
          <w:rFonts w:hint="eastAsia" w:ascii="楷体" w:hAnsi="楷体" w:eastAsia="楷体" w:cs="楷体"/>
          <w:b/>
          <w:color w:val="000000"/>
          <w:sz w:val="32"/>
          <w:szCs w:val="32"/>
        </w:rPr>
      </w:pPr>
      <w:bookmarkStart w:id="35" w:name="_Toc15377211"/>
      <w:r>
        <w:rPr>
          <w:rFonts w:hint="eastAsia" w:ascii="楷体" w:hAnsi="楷体" w:eastAsia="楷体" w:cs="楷体"/>
          <w:b/>
          <w:color w:val="000000"/>
          <w:sz w:val="32"/>
          <w:szCs w:val="32"/>
        </w:rPr>
        <w:t>（二）一般公共预算财政拨款支出决算结构情况</w:t>
      </w:r>
      <w:bookmarkEnd w:id="35"/>
    </w:p>
    <w:p>
      <w:pPr>
        <w:pageBreakBefore w:val="0"/>
        <w:kinsoku/>
        <w:wordWrap/>
        <w:overflowPunct/>
        <w:topLinePunct w:val="0"/>
        <w:bidi w:val="0"/>
        <w:spacing w:line="578" w:lineRule="atLeast"/>
        <w:ind w:firstLine="64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158.39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2.19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106.89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67.48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30.96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19.55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8.84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5.58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9.51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pageBreakBefore w:val="0"/>
        <w:kinsoku/>
        <w:wordWrap/>
        <w:overflowPunct/>
        <w:topLinePunct w:val="0"/>
        <w:bidi w:val="0"/>
        <w:spacing w:line="578" w:lineRule="atLeast"/>
        <w:ind w:firstLine="643" w:firstLineChars="200"/>
        <w:textAlignment w:val="auto"/>
        <w:outlineLvl w:val="2"/>
        <w:rPr>
          <w:rFonts w:hint="eastAsia" w:ascii="楷体" w:hAnsi="楷体" w:eastAsia="楷体" w:cs="楷体"/>
          <w:b/>
          <w:color w:val="000000"/>
          <w:sz w:val="32"/>
          <w:szCs w:val="32"/>
        </w:rPr>
      </w:pPr>
      <w:bookmarkStart w:id="36" w:name="_Toc15377212"/>
      <w:r>
        <w:rPr>
          <w:rFonts w:hint="eastAsia" w:ascii="楷体" w:hAnsi="楷体" w:eastAsia="楷体" w:cs="楷体"/>
          <w:b/>
          <w:color w:val="000000"/>
          <w:sz w:val="32"/>
          <w:szCs w:val="32"/>
        </w:rPr>
        <w:t>（三）一般公共预算财政拨款支出决算具体情况</w:t>
      </w:r>
      <w:bookmarkEnd w:id="36"/>
    </w:p>
    <w:p>
      <w:pPr>
        <w:pageBreakBefore w:val="0"/>
        <w:kinsoku/>
        <w:wordWrap/>
        <w:overflowPunct/>
        <w:topLinePunct w:val="0"/>
        <w:bidi w:val="0"/>
        <w:spacing w:line="578" w:lineRule="atLeast"/>
        <w:ind w:firstLine="643" w:firstLineChars="200"/>
        <w:textAlignment w:val="auto"/>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158.39</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pageBreakBefore w:val="0"/>
        <w:numPr>
          <w:ilvl w:val="0"/>
          <w:numId w:val="0"/>
        </w:numPr>
        <w:kinsoku/>
        <w:wordWrap/>
        <w:overflowPunct/>
        <w:topLinePunct w:val="0"/>
        <w:bidi w:val="0"/>
        <w:spacing w:line="578" w:lineRule="atLeast"/>
        <w:ind w:firstLine="643" w:firstLineChars="200"/>
        <w:textAlignment w:val="auto"/>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一般公共服务</w:t>
      </w:r>
      <w:r>
        <w:rPr>
          <w:rStyle w:val="15"/>
          <w:rFonts w:hint="eastAsia" w:ascii="仿宋" w:hAnsi="仿宋" w:eastAsia="仿宋"/>
          <w:bCs/>
          <w:color w:val="000000"/>
          <w:sz w:val="32"/>
          <w:szCs w:val="32"/>
          <w:lang w:val="en-US" w:eastAsia="zh-CN"/>
        </w:rPr>
        <w:t>201</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29</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2.19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pageBreakBefore w:val="0"/>
        <w:numPr>
          <w:ilvl w:val="0"/>
          <w:numId w:val="0"/>
        </w:numPr>
        <w:kinsoku/>
        <w:wordWrap/>
        <w:overflowPunct/>
        <w:topLinePunct w:val="0"/>
        <w:bidi w:val="0"/>
        <w:spacing w:line="578" w:lineRule="atLeast"/>
        <w:ind w:firstLine="643" w:firstLineChars="200"/>
        <w:textAlignment w:val="auto"/>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2.</w:t>
      </w:r>
      <w:r>
        <w:rPr>
          <w:rStyle w:val="15"/>
          <w:rFonts w:hint="eastAsia" w:ascii="仿宋" w:hAnsi="仿宋" w:eastAsia="仿宋"/>
          <w:bCs/>
          <w:color w:val="000000"/>
          <w:sz w:val="32"/>
          <w:szCs w:val="32"/>
        </w:rPr>
        <w:t>科学技术</w:t>
      </w:r>
      <w:r>
        <w:rPr>
          <w:rStyle w:val="15"/>
          <w:rFonts w:hint="eastAsia" w:ascii="仿宋" w:hAnsi="仿宋" w:eastAsia="仿宋"/>
          <w:bCs/>
          <w:color w:val="000000"/>
          <w:sz w:val="32"/>
          <w:szCs w:val="32"/>
          <w:lang w:val="en-US" w:eastAsia="zh-CN"/>
        </w:rPr>
        <w:t>206</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21.99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30.51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单位职工工资没有纳入此功能科目决算。</w:t>
      </w:r>
    </w:p>
    <w:p>
      <w:pPr>
        <w:pageBreakBefore w:val="0"/>
        <w:numPr>
          <w:ilvl w:val="0"/>
          <w:numId w:val="0"/>
        </w:numPr>
        <w:kinsoku/>
        <w:wordWrap/>
        <w:overflowPunct/>
        <w:topLinePunct w:val="0"/>
        <w:bidi w:val="0"/>
        <w:spacing w:line="578" w:lineRule="atLeast"/>
        <w:ind w:firstLine="643" w:firstLineChars="200"/>
        <w:jc w:val="left"/>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3.</w:t>
      </w:r>
      <w:r>
        <w:rPr>
          <w:rStyle w:val="15"/>
          <w:rFonts w:hint="eastAsia" w:ascii="仿宋" w:hAnsi="仿宋" w:eastAsia="仿宋"/>
          <w:bCs/>
          <w:color w:val="000000"/>
          <w:sz w:val="32"/>
          <w:szCs w:val="32"/>
        </w:rPr>
        <w:t>科学技术</w:t>
      </w:r>
      <w:r>
        <w:rPr>
          <w:rStyle w:val="15"/>
          <w:rFonts w:hint="eastAsia" w:ascii="仿宋" w:hAnsi="仿宋" w:eastAsia="仿宋"/>
          <w:bCs/>
          <w:color w:val="000000"/>
          <w:sz w:val="32"/>
          <w:szCs w:val="32"/>
          <w:lang w:val="en-US" w:eastAsia="zh-CN"/>
        </w:rPr>
        <w:t>206</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0.83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3.66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单位职工工资没有纳入此功能科目决算</w:t>
      </w:r>
      <w:r>
        <w:rPr>
          <w:rStyle w:val="15"/>
          <w:rFonts w:hint="eastAsia" w:ascii="仿宋" w:hAnsi="仿宋" w:eastAsia="仿宋"/>
          <w:b w:val="0"/>
          <w:bCs/>
          <w:color w:val="000000"/>
          <w:sz w:val="32"/>
          <w:szCs w:val="32"/>
        </w:rPr>
        <w:t>。</w:t>
      </w:r>
    </w:p>
    <w:p>
      <w:pPr>
        <w:pageBreakBefore w:val="0"/>
        <w:numPr>
          <w:ilvl w:val="0"/>
          <w:numId w:val="0"/>
        </w:numPr>
        <w:kinsoku/>
        <w:wordWrap/>
        <w:overflowPunct/>
        <w:topLinePunct w:val="0"/>
        <w:bidi w:val="0"/>
        <w:spacing w:line="578" w:lineRule="atLeast"/>
        <w:ind w:firstLine="643" w:firstLineChars="200"/>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4.</w:t>
      </w:r>
      <w:r>
        <w:rPr>
          <w:rStyle w:val="15"/>
          <w:rFonts w:hint="eastAsia" w:ascii="仿宋" w:hAnsi="仿宋" w:eastAsia="仿宋"/>
          <w:bCs/>
          <w:color w:val="000000"/>
          <w:sz w:val="32"/>
          <w:szCs w:val="32"/>
        </w:rPr>
        <w:t>科学技术</w:t>
      </w:r>
      <w:r>
        <w:rPr>
          <w:rStyle w:val="15"/>
          <w:rFonts w:hint="eastAsia" w:ascii="仿宋" w:hAnsi="仿宋" w:eastAsia="仿宋"/>
          <w:bCs/>
          <w:color w:val="000000"/>
          <w:sz w:val="32"/>
          <w:szCs w:val="32"/>
          <w:lang w:val="en-US" w:eastAsia="zh-CN"/>
        </w:rPr>
        <w:t>206</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07</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84.07</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单位年初此功能科目没有预算，决算时单位职工工资全部纳入了此功能科目。</w:t>
      </w:r>
    </w:p>
    <w:p>
      <w:pPr>
        <w:pageBreakBefore w:val="0"/>
        <w:kinsoku/>
        <w:wordWrap/>
        <w:overflowPunct/>
        <w:topLinePunct w:val="0"/>
        <w:bidi w:val="0"/>
        <w:spacing w:line="578" w:lineRule="atLeast"/>
        <w:ind w:firstLine="643" w:firstLineChars="200"/>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5.</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05</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05</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15.72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94.64</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单位人员总数减少</w:t>
      </w:r>
      <w:r>
        <w:rPr>
          <w:rStyle w:val="15"/>
          <w:rFonts w:hint="eastAsia" w:ascii="仿宋" w:hAnsi="仿宋" w:eastAsia="仿宋"/>
          <w:b w:val="0"/>
          <w:bCs/>
          <w:color w:val="000000"/>
          <w:sz w:val="32"/>
          <w:szCs w:val="32"/>
        </w:rPr>
        <w:t>。</w:t>
      </w:r>
    </w:p>
    <w:p>
      <w:pPr>
        <w:pageBreakBefore w:val="0"/>
        <w:kinsoku/>
        <w:wordWrap/>
        <w:overflowPunct/>
        <w:topLinePunct w:val="0"/>
        <w:bidi w:val="0"/>
        <w:spacing w:line="578" w:lineRule="atLeast"/>
        <w:ind w:firstLine="643" w:firstLineChars="200"/>
        <w:textAlignment w:val="auto"/>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08</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15.23</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w:t>
      </w:r>
    </w:p>
    <w:p>
      <w:pPr>
        <w:pageBreakBefore w:val="0"/>
        <w:kinsoku/>
        <w:wordWrap/>
        <w:overflowPunct/>
        <w:topLinePunct w:val="0"/>
        <w:bidi w:val="0"/>
        <w:spacing w:line="578" w:lineRule="atLeast"/>
        <w:ind w:firstLine="643" w:firstLineChars="200"/>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hint="eastAsia" w:ascii="仿宋" w:hAnsi="仿宋" w:eastAsia="仿宋"/>
          <w:bCs/>
          <w:color w:val="000000"/>
          <w:sz w:val="32"/>
          <w:szCs w:val="32"/>
          <w:lang w:val="en-US" w:eastAsia="zh-CN"/>
        </w:rPr>
        <w:t>210</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11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3.96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，决算数等于预算数的主要原因是</w:t>
      </w:r>
      <w:r>
        <w:rPr>
          <w:rStyle w:val="15"/>
          <w:rFonts w:hint="eastAsia" w:ascii="仿宋" w:hAnsi="仿宋" w:eastAsia="仿宋"/>
          <w:b w:val="0"/>
          <w:bCs/>
          <w:color w:val="000000"/>
          <w:sz w:val="32"/>
          <w:szCs w:val="32"/>
          <w:lang w:eastAsia="zh-CN"/>
        </w:rPr>
        <w:t>单位行编人数持平</w:t>
      </w:r>
      <w:r>
        <w:rPr>
          <w:rStyle w:val="15"/>
          <w:rFonts w:hint="eastAsia" w:ascii="仿宋" w:hAnsi="仿宋" w:eastAsia="仿宋"/>
          <w:b w:val="0"/>
          <w:bCs/>
          <w:color w:val="000000"/>
          <w:sz w:val="32"/>
          <w:szCs w:val="32"/>
        </w:rPr>
        <w:t>。</w:t>
      </w:r>
    </w:p>
    <w:p>
      <w:pPr>
        <w:pageBreakBefore w:val="0"/>
        <w:kinsoku/>
        <w:wordWrap/>
        <w:overflowPunct/>
        <w:topLinePunct w:val="0"/>
        <w:bidi w:val="0"/>
        <w:spacing w:line="578" w:lineRule="atLeast"/>
        <w:ind w:firstLine="643" w:firstLineChars="200"/>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hint="eastAsia" w:ascii="仿宋" w:hAnsi="仿宋" w:eastAsia="仿宋"/>
          <w:bCs/>
          <w:color w:val="000000"/>
          <w:sz w:val="32"/>
          <w:szCs w:val="32"/>
          <w:lang w:val="en-US" w:eastAsia="zh-CN"/>
        </w:rPr>
        <w:t>210</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11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02</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91.61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单位事业人员减少</w:t>
      </w:r>
      <w:r>
        <w:rPr>
          <w:rStyle w:val="15"/>
          <w:rFonts w:hint="eastAsia" w:ascii="仿宋" w:hAnsi="仿宋" w:eastAsia="仿宋"/>
          <w:b w:val="0"/>
          <w:bCs/>
          <w:color w:val="000000"/>
          <w:sz w:val="32"/>
          <w:szCs w:val="32"/>
        </w:rPr>
        <w:t>。</w:t>
      </w:r>
    </w:p>
    <w:p>
      <w:pPr>
        <w:pageBreakBefore w:val="0"/>
        <w:kinsoku/>
        <w:wordWrap/>
        <w:overflowPunct/>
        <w:topLinePunct w:val="0"/>
        <w:bidi w:val="0"/>
        <w:spacing w:line="578" w:lineRule="atLeast"/>
        <w:ind w:firstLine="643" w:firstLineChars="200"/>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9</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hint="eastAsia" w:ascii="仿宋" w:hAnsi="仿宋" w:eastAsia="仿宋"/>
          <w:bCs/>
          <w:color w:val="000000"/>
          <w:sz w:val="32"/>
          <w:szCs w:val="32"/>
          <w:lang w:val="en-US" w:eastAsia="zh-CN"/>
        </w:rPr>
        <w:t>210</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11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03</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3.57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，决算数等于预算数的主要原因是</w:t>
      </w:r>
      <w:r>
        <w:rPr>
          <w:rStyle w:val="15"/>
          <w:rFonts w:hint="eastAsia" w:ascii="仿宋" w:hAnsi="仿宋" w:eastAsia="仿宋"/>
          <w:b w:val="0"/>
          <w:bCs/>
          <w:color w:val="000000"/>
          <w:sz w:val="32"/>
          <w:szCs w:val="32"/>
          <w:lang w:eastAsia="zh-CN"/>
        </w:rPr>
        <w:t>行编人数持平</w:t>
      </w:r>
      <w:r>
        <w:rPr>
          <w:rStyle w:val="15"/>
          <w:rFonts w:hint="eastAsia" w:ascii="仿宋" w:hAnsi="仿宋" w:eastAsia="仿宋"/>
          <w:b w:val="0"/>
          <w:bCs/>
          <w:color w:val="000000"/>
          <w:sz w:val="32"/>
          <w:szCs w:val="32"/>
        </w:rPr>
        <w:t>。</w:t>
      </w:r>
    </w:p>
    <w:p>
      <w:pPr>
        <w:pageBreakBefore w:val="0"/>
        <w:kinsoku/>
        <w:wordWrap/>
        <w:overflowPunct/>
        <w:topLinePunct w:val="0"/>
        <w:bidi w:val="0"/>
        <w:spacing w:line="578" w:lineRule="atLeast"/>
        <w:ind w:firstLine="643" w:firstLineChars="200"/>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10</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住房保障支出</w:t>
      </w:r>
      <w:r>
        <w:rPr>
          <w:rStyle w:val="15"/>
          <w:rFonts w:hint="eastAsia" w:ascii="仿宋" w:hAnsi="仿宋" w:eastAsia="仿宋"/>
          <w:bCs/>
          <w:color w:val="000000"/>
          <w:sz w:val="32"/>
          <w:szCs w:val="32"/>
          <w:lang w:val="en-US" w:eastAsia="zh-CN"/>
        </w:rPr>
        <w:t>221</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02</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9.51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95.48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单位人员总数减少</w:t>
      </w:r>
      <w:r>
        <w:rPr>
          <w:rStyle w:val="15"/>
          <w:rFonts w:hint="eastAsia" w:ascii="仿宋" w:hAnsi="仿宋" w:eastAsia="仿宋"/>
          <w:b w:val="0"/>
          <w:bCs/>
          <w:color w:val="000000"/>
          <w:sz w:val="32"/>
          <w:szCs w:val="32"/>
        </w:rPr>
        <w:t>。</w:t>
      </w:r>
    </w:p>
    <w:p>
      <w:pPr>
        <w:pageBreakBefore w:val="0"/>
        <w:kinsoku/>
        <w:wordWrap/>
        <w:overflowPunct/>
        <w:topLinePunct w:val="0"/>
        <w:bidi w:val="0"/>
        <w:spacing w:line="578" w:lineRule="atLeast"/>
        <w:ind w:firstLine="640"/>
        <w:textAlignment w:val="auto"/>
        <w:rPr>
          <w:rFonts w:ascii="仿宋" w:hAnsi="仿宋" w:eastAsia="仿宋"/>
          <w:b/>
          <w:color w:val="000000"/>
          <w:sz w:val="32"/>
          <w:szCs w:val="32"/>
        </w:rPr>
      </w:pPr>
    </w:p>
    <w:p>
      <w:pPr>
        <w:pageBreakBefore w:val="0"/>
        <w:tabs>
          <w:tab w:val="right" w:pos="8306"/>
        </w:tabs>
        <w:kinsoku/>
        <w:wordWrap/>
        <w:overflowPunct/>
        <w:topLinePunct w:val="0"/>
        <w:bidi w:val="0"/>
        <w:spacing w:line="578" w:lineRule="atLeast"/>
        <w:ind w:firstLine="640"/>
        <w:textAlignment w:val="auto"/>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pageBreakBefore w:val="0"/>
        <w:kinsoku/>
        <w:wordWrap/>
        <w:overflowPunct/>
        <w:topLinePunct w:val="0"/>
        <w:bidi w:val="0"/>
        <w:spacing w:line="578" w:lineRule="atLeast"/>
        <w:ind w:firstLine="645"/>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158.39</w:t>
      </w:r>
      <w:r>
        <w:rPr>
          <w:rFonts w:hint="eastAsia" w:ascii="仿宋" w:hAnsi="仿宋" w:eastAsia="仿宋"/>
          <w:color w:val="000000"/>
          <w:sz w:val="32"/>
          <w:szCs w:val="32"/>
        </w:rPr>
        <w:t>万元，其中：</w:t>
      </w:r>
    </w:p>
    <w:p>
      <w:pPr>
        <w:pageBreakBefore w:val="0"/>
        <w:kinsoku/>
        <w:wordWrap/>
        <w:overflowPunct/>
        <w:topLinePunct w:val="0"/>
        <w:bidi w:val="0"/>
        <w:spacing w:line="578" w:lineRule="atLeast"/>
        <w:ind w:firstLine="645"/>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145.47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12.92</w:t>
      </w:r>
      <w:r>
        <w:rPr>
          <w:rFonts w:hint="eastAsia" w:ascii="仿宋" w:hAnsi="仿宋" w:eastAsia="仿宋"/>
          <w:color w:val="000000"/>
          <w:sz w:val="32"/>
          <w:szCs w:val="32"/>
        </w:rPr>
        <w:t>万元，主要包括：办公费、印刷费、电费、邮电费、取暖费、物业管理费、差旅费、因公出国（境）费用、维修（护）费、租赁费、会议费、培训费、公务接待费、劳务费、工会经费、福利费、公务用车运行维护费、其他交通费、其他商品和服务支出</w:t>
      </w:r>
      <w:r>
        <w:rPr>
          <w:rFonts w:hint="eastAsia" w:ascii="仿宋" w:hAnsi="仿宋" w:eastAsia="仿宋"/>
          <w:color w:val="000000"/>
          <w:sz w:val="32"/>
          <w:szCs w:val="32"/>
          <w:lang w:eastAsia="zh-CN"/>
        </w:rPr>
        <w:t>。</w:t>
      </w:r>
    </w:p>
    <w:p>
      <w:pPr>
        <w:pageBreakBefore w:val="0"/>
        <w:kinsoku/>
        <w:wordWrap/>
        <w:overflowPunct/>
        <w:topLinePunct w:val="0"/>
        <w:bidi w:val="0"/>
        <w:spacing w:line="578" w:lineRule="atLeast"/>
        <w:ind w:firstLine="640"/>
        <w:textAlignment w:val="auto"/>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578" w:lineRule="atLeast"/>
        <w:ind w:firstLine="643" w:firstLineChars="200"/>
        <w:textAlignment w:val="auto"/>
        <w:outlineLvl w:val="2"/>
        <w:rPr>
          <w:rFonts w:hint="eastAsia" w:ascii="楷体" w:hAnsi="楷体" w:eastAsia="楷体" w:cs="楷体"/>
          <w:b/>
          <w:color w:val="000000"/>
          <w:sz w:val="32"/>
          <w:szCs w:val="32"/>
        </w:rPr>
      </w:pPr>
      <w:bookmarkStart w:id="44" w:name="_Toc15377216"/>
      <w:r>
        <w:rPr>
          <w:rFonts w:hint="eastAsia" w:ascii="楷体" w:hAnsi="楷体" w:eastAsia="楷体" w:cs="楷体"/>
          <w:b/>
          <w:color w:val="000000"/>
          <w:sz w:val="32"/>
          <w:szCs w:val="32"/>
        </w:rPr>
        <w:t>（一）“三公”经费财政拨款支出决算总体情况说明</w:t>
      </w:r>
      <w:bookmarkEnd w:id="44"/>
    </w:p>
    <w:p>
      <w:pPr>
        <w:pageBreakBefore w:val="0"/>
        <w:kinsoku/>
        <w:wordWrap/>
        <w:overflowPunct/>
        <w:topLinePunct w:val="0"/>
        <w:bidi w:val="0"/>
        <w:spacing w:line="578" w:lineRule="atLeast"/>
        <w:ind w:firstLine="64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0.14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87.5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压缩公务接待开支</w:t>
      </w:r>
      <w:r>
        <w:rPr>
          <w:rFonts w:hint="eastAsia" w:ascii="仿宋" w:hAnsi="仿宋" w:eastAsia="仿宋"/>
          <w:color w:val="000000"/>
          <w:sz w:val="32"/>
          <w:szCs w:val="32"/>
        </w:rPr>
        <w:t>。</w:t>
      </w:r>
    </w:p>
    <w:p>
      <w:pPr>
        <w:pageBreakBefore w:val="0"/>
        <w:kinsoku/>
        <w:wordWrap/>
        <w:overflowPunct/>
        <w:topLinePunct w:val="0"/>
        <w:bidi w:val="0"/>
        <w:spacing w:line="578" w:lineRule="atLeast"/>
        <w:ind w:firstLine="643" w:firstLineChars="200"/>
        <w:textAlignment w:val="auto"/>
        <w:outlineLvl w:val="2"/>
        <w:rPr>
          <w:rFonts w:hint="eastAsia" w:ascii="楷体" w:hAnsi="楷体" w:eastAsia="楷体" w:cs="楷体"/>
          <w:b/>
          <w:color w:val="000000"/>
          <w:sz w:val="32"/>
          <w:szCs w:val="32"/>
        </w:rPr>
      </w:pPr>
      <w:bookmarkStart w:id="45" w:name="_Toc15377217"/>
      <w:r>
        <w:rPr>
          <w:rFonts w:hint="eastAsia" w:ascii="楷体" w:hAnsi="楷体" w:eastAsia="楷体" w:cs="楷体"/>
          <w:b/>
          <w:color w:val="000000"/>
          <w:sz w:val="32"/>
          <w:szCs w:val="32"/>
        </w:rPr>
        <w:t>（二）“三公”经费财政拨款支出决算具体情况说明</w:t>
      </w:r>
      <w:bookmarkEnd w:id="45"/>
    </w:p>
    <w:p>
      <w:pPr>
        <w:pageBreakBefore w:val="0"/>
        <w:kinsoku/>
        <w:wordWrap/>
        <w:overflowPunct/>
        <w:topLinePunct w:val="0"/>
        <w:bidi w:val="0"/>
        <w:spacing w:line="578" w:lineRule="atLeast"/>
        <w:ind w:firstLine="64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ageBreakBefore w:val="0"/>
        <w:kinsoku/>
        <w:wordWrap/>
        <w:overflowPunct/>
        <w:topLinePunct w:val="0"/>
        <w:bidi w:val="0"/>
        <w:snapToGrid w:val="0"/>
        <w:spacing w:line="578" w:lineRule="atLeast"/>
        <w:ind w:firstLine="643" w:firstLineChars="200"/>
        <w:textAlignment w:val="auto"/>
        <w:rPr>
          <w:rFonts w:hint="eastAsia" w:ascii="仿宋_GB2312" w:eastAsia="仿宋_GB2312"/>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r>
        <w:rPr>
          <w:rFonts w:hint="eastAsia" w:ascii="仿宋_GB2312" w:eastAsia="仿宋_GB2312"/>
          <w:color w:val="000000"/>
          <w:sz w:val="32"/>
          <w:szCs w:val="32"/>
          <w:lang w:val="en-US" w:eastAsia="zh-CN"/>
        </w:rPr>
        <w:t>因公出国（境）支出决算比2017年无增加或减少。</w:t>
      </w:r>
    </w:p>
    <w:p>
      <w:pPr>
        <w:pageBreakBefore w:val="0"/>
        <w:kinsoku/>
        <w:wordWrap/>
        <w:overflowPunct/>
        <w:topLinePunct w:val="0"/>
        <w:bidi w:val="0"/>
        <w:spacing w:line="578" w:lineRule="atLeast"/>
        <w:ind w:firstLine="640"/>
        <w:textAlignment w:val="auto"/>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无增加或减少。</w:t>
      </w:r>
    </w:p>
    <w:p>
      <w:pPr>
        <w:pageBreakBefore w:val="0"/>
        <w:kinsoku/>
        <w:wordWrap/>
        <w:overflowPunct/>
        <w:topLinePunct w:val="0"/>
        <w:bidi w:val="0"/>
        <w:spacing w:line="578" w:lineRule="atLeast"/>
        <w:ind w:firstLine="640"/>
        <w:textAlignment w:val="auto"/>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87.5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9.03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压缩公务接待开支</w:t>
      </w:r>
      <w:r>
        <w:rPr>
          <w:rFonts w:hint="eastAsia" w:ascii="仿宋_GB2312" w:eastAsia="仿宋_GB2312"/>
          <w:color w:val="000000"/>
          <w:sz w:val="32"/>
          <w:szCs w:val="32"/>
        </w:rPr>
        <w:t>。</w:t>
      </w:r>
    </w:p>
    <w:p>
      <w:pPr>
        <w:pageBreakBefore w:val="0"/>
        <w:kinsoku/>
        <w:wordWrap/>
        <w:overflowPunct/>
        <w:topLinePunct w:val="0"/>
        <w:bidi w:val="0"/>
        <w:spacing w:line="578" w:lineRule="atLeas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主要用于执行公务、开展业务活动开支的用餐费等。国内公务接待</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万元，公务接待费主要用于</w:t>
      </w:r>
      <w:r>
        <w:rPr>
          <w:rFonts w:hint="eastAsia" w:ascii="仿宋_GB2312" w:eastAsia="仿宋_GB2312"/>
          <w:color w:val="000000"/>
          <w:sz w:val="32"/>
          <w:szCs w:val="32"/>
          <w:lang w:eastAsia="zh-CN"/>
        </w:rPr>
        <w:t>达州市科普作家协会创作调研工作</w:t>
      </w:r>
      <w:r>
        <w:rPr>
          <w:rFonts w:hint="eastAsia" w:ascii="仿宋_GB2312" w:eastAsia="仿宋_GB2312"/>
          <w:color w:val="000000"/>
          <w:sz w:val="32"/>
          <w:szCs w:val="32"/>
          <w:lang w:val="en-US" w:eastAsia="zh-CN"/>
        </w:rPr>
        <w:t>960元；</w:t>
      </w:r>
      <w:r>
        <w:rPr>
          <w:rFonts w:hint="eastAsia" w:ascii="仿宋_GB2312" w:eastAsia="仿宋_GB2312"/>
          <w:color w:val="000000"/>
          <w:sz w:val="32"/>
          <w:szCs w:val="32"/>
          <w:lang w:eastAsia="zh-CN"/>
        </w:rPr>
        <w:t>市科协参加我县“全国科技工作日”活动</w:t>
      </w:r>
      <w:r>
        <w:rPr>
          <w:rFonts w:hint="eastAsia" w:ascii="仿宋_GB2312" w:eastAsia="仿宋_GB2312"/>
          <w:color w:val="000000"/>
          <w:sz w:val="32"/>
          <w:szCs w:val="32"/>
          <w:lang w:val="en-US" w:eastAsia="zh-CN"/>
        </w:rPr>
        <w:t>240元；</w:t>
      </w:r>
      <w:r>
        <w:rPr>
          <w:rFonts w:hint="eastAsia" w:ascii="仿宋_GB2312" w:eastAsia="仿宋_GB2312"/>
          <w:color w:val="000000"/>
          <w:sz w:val="32"/>
          <w:szCs w:val="32"/>
          <w:lang w:eastAsia="zh-CN"/>
        </w:rPr>
        <w:t>市科协来我县调研拟建院士（专家）工作站工作</w:t>
      </w:r>
      <w:bookmarkStart w:id="72" w:name="_GoBack"/>
      <w:bookmarkEnd w:id="72"/>
      <w:r>
        <w:rPr>
          <w:rFonts w:hint="eastAsia" w:ascii="仿宋_GB2312" w:eastAsia="仿宋_GB2312"/>
          <w:color w:val="000000"/>
          <w:sz w:val="32"/>
          <w:szCs w:val="32"/>
          <w:lang w:val="en-US" w:eastAsia="zh-CN"/>
        </w:rPr>
        <w:t>200元</w:t>
      </w:r>
      <w:r>
        <w:rPr>
          <w:rFonts w:hint="eastAsia" w:ascii="仿宋_GB2312" w:eastAsia="仿宋_GB2312"/>
          <w:color w:val="000000"/>
          <w:sz w:val="32"/>
          <w:szCs w:val="32"/>
          <w:lang w:eastAsia="zh-CN"/>
        </w:rPr>
        <w:t>。</w:t>
      </w:r>
    </w:p>
    <w:p>
      <w:pPr>
        <w:pageBreakBefore w:val="0"/>
        <w:kinsoku/>
        <w:wordWrap/>
        <w:overflowPunct/>
        <w:topLinePunct w:val="0"/>
        <w:bidi w:val="0"/>
        <w:spacing w:line="578" w:lineRule="atLeast"/>
        <w:ind w:firstLine="640" w:firstLineChars="200"/>
        <w:textAlignment w:val="auto"/>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578" w:lineRule="atLeast"/>
        <w:ind w:firstLine="64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numPr>
          <w:ilvl w:val="0"/>
          <w:numId w:val="0"/>
        </w:numPr>
        <w:kinsoku/>
        <w:wordWrap/>
        <w:overflowPunct/>
        <w:topLinePunct w:val="0"/>
        <w:bidi w:val="0"/>
        <w:spacing w:line="578" w:lineRule="atLeast"/>
        <w:ind w:firstLine="640" w:firstLineChars="200"/>
        <w:textAlignment w:val="auto"/>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lang w:eastAsia="zh-CN"/>
        </w:rPr>
        <w:t>九、</w:t>
      </w:r>
      <w:r>
        <w:rPr>
          <w:rStyle w:val="26"/>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578" w:lineRule="atLeast"/>
        <w:ind w:firstLine="64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pageBreakBefore w:val="0"/>
        <w:numPr>
          <w:ilvl w:val="0"/>
          <w:numId w:val="0"/>
        </w:numPr>
        <w:kinsoku/>
        <w:wordWrap/>
        <w:overflowPunct/>
        <w:topLinePunct w:val="0"/>
        <w:bidi w:val="0"/>
        <w:spacing w:line="578" w:lineRule="atLeast"/>
        <w:ind w:firstLine="640" w:firstLineChars="200"/>
        <w:textAlignment w:val="auto"/>
        <w:rPr>
          <w:rStyle w:val="26"/>
          <w:rFonts w:hint="eastAsia" w:ascii="黑体" w:hAnsi="黑体" w:eastAsia="黑体"/>
          <w:b w:val="0"/>
        </w:rPr>
      </w:pPr>
      <w:r>
        <w:rPr>
          <w:rStyle w:val="26"/>
          <w:rFonts w:hint="eastAsia" w:ascii="黑体" w:hAnsi="黑体" w:eastAsia="黑体"/>
          <w:b w:val="0"/>
          <w:lang w:eastAsia="zh-CN"/>
        </w:rPr>
        <w:t>十、</w:t>
      </w:r>
      <w:r>
        <w:rPr>
          <w:rStyle w:val="26"/>
          <w:rFonts w:hint="eastAsia" w:ascii="黑体" w:hAnsi="黑体" w:eastAsia="黑体"/>
          <w:b w:val="0"/>
        </w:rPr>
        <w:t>预算绩效情况说明</w:t>
      </w:r>
    </w:p>
    <w:p>
      <w:pPr>
        <w:pStyle w:val="24"/>
        <w:pageBreakBefore w:val="0"/>
        <w:numPr>
          <w:ilvl w:val="0"/>
          <w:numId w:val="0"/>
        </w:numPr>
        <w:kinsoku/>
        <w:wordWrap/>
        <w:overflowPunct/>
        <w:topLinePunct w:val="0"/>
        <w:bidi w:val="0"/>
        <w:spacing w:line="578" w:lineRule="atLeast"/>
        <w:ind w:firstLine="640" w:firstLineChars="200"/>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本单位没对2018年一般公共预算项目支出开展绩效目标管理和绩效评价。</w:t>
      </w:r>
    </w:p>
    <w:p>
      <w:pPr>
        <w:pageBreakBefore w:val="0"/>
        <w:numPr>
          <w:ilvl w:val="0"/>
          <w:numId w:val="0"/>
        </w:numPr>
        <w:kinsoku/>
        <w:wordWrap/>
        <w:overflowPunct/>
        <w:topLinePunct w:val="0"/>
        <w:bidi w:val="0"/>
        <w:spacing w:line="578" w:lineRule="atLeast"/>
        <w:ind w:firstLine="640" w:firstLineChars="200"/>
        <w:textAlignment w:val="auto"/>
        <w:outlineLvl w:val="1"/>
        <w:rPr>
          <w:rStyle w:val="26"/>
          <w:rFonts w:hint="eastAsia" w:ascii="黑体" w:hAnsi="黑体" w:eastAsia="黑体"/>
          <w:b w:val="0"/>
        </w:rPr>
      </w:pPr>
      <w:bookmarkStart w:id="50" w:name="_Toc15377221"/>
      <w:bookmarkStart w:id="51" w:name="_Toc15396612"/>
      <w:r>
        <w:rPr>
          <w:rStyle w:val="26"/>
          <w:rFonts w:hint="eastAsia" w:ascii="黑体" w:hAnsi="黑体" w:eastAsia="黑体"/>
          <w:b w:val="0"/>
          <w:lang w:eastAsia="zh-CN"/>
        </w:rPr>
        <w:t>十一、</w:t>
      </w:r>
      <w:r>
        <w:rPr>
          <w:rStyle w:val="26"/>
          <w:rFonts w:hint="eastAsia" w:ascii="黑体" w:hAnsi="黑体" w:eastAsia="黑体"/>
          <w:b w:val="0"/>
        </w:rPr>
        <w:t>其他重要事项的情况说明</w:t>
      </w:r>
      <w:bookmarkEnd w:id="50"/>
      <w:bookmarkEnd w:id="51"/>
    </w:p>
    <w:p>
      <w:pPr>
        <w:pageBreakBefore w:val="0"/>
        <w:kinsoku/>
        <w:wordWrap/>
        <w:overflowPunct/>
        <w:topLinePunct w:val="0"/>
        <w:bidi w:val="0"/>
        <w:spacing w:line="578" w:lineRule="atLeast"/>
        <w:ind w:firstLine="643" w:firstLineChars="200"/>
        <w:textAlignment w:val="auto"/>
        <w:outlineLvl w:val="2"/>
        <w:rPr>
          <w:rFonts w:hint="eastAsia" w:ascii="楷体" w:hAnsi="楷体" w:eastAsia="楷体" w:cs="楷体"/>
          <w:b/>
          <w:color w:val="000000"/>
          <w:sz w:val="32"/>
          <w:szCs w:val="32"/>
        </w:rPr>
      </w:pPr>
      <w:bookmarkStart w:id="52" w:name="_Toc15377222"/>
      <w:r>
        <w:rPr>
          <w:rFonts w:hint="eastAsia" w:ascii="楷体" w:hAnsi="楷体" w:eastAsia="楷体" w:cs="楷体"/>
          <w:b/>
          <w:color w:val="000000"/>
          <w:sz w:val="32"/>
          <w:szCs w:val="32"/>
        </w:rPr>
        <w:t>（一）机关运行经费支出情况</w:t>
      </w:r>
      <w:bookmarkEnd w:id="52"/>
    </w:p>
    <w:p>
      <w:pPr>
        <w:pageBreakBefore w:val="0"/>
        <w:kinsoku/>
        <w:wordWrap/>
        <w:overflowPunct/>
        <w:topLinePunct w:val="0"/>
        <w:bidi w:val="0"/>
        <w:spacing w:line="578" w:lineRule="atLeas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科协</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12.93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2.17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14.37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单位人员减少。</w:t>
      </w:r>
    </w:p>
    <w:p>
      <w:pPr>
        <w:pageBreakBefore w:val="0"/>
        <w:numPr>
          <w:ilvl w:val="0"/>
          <w:numId w:val="2"/>
        </w:numPr>
        <w:kinsoku/>
        <w:wordWrap/>
        <w:overflowPunct/>
        <w:topLinePunct w:val="0"/>
        <w:bidi w:val="0"/>
        <w:spacing w:line="578" w:lineRule="atLeast"/>
        <w:ind w:firstLine="643" w:firstLineChars="200"/>
        <w:textAlignment w:val="auto"/>
        <w:outlineLvl w:val="2"/>
        <w:rPr>
          <w:rFonts w:hint="eastAsia" w:ascii="楷体" w:hAnsi="楷体" w:eastAsia="楷体" w:cs="楷体"/>
          <w:b/>
          <w:color w:val="000000"/>
          <w:sz w:val="32"/>
          <w:szCs w:val="32"/>
        </w:rPr>
      </w:pPr>
      <w:bookmarkStart w:id="53" w:name="_Toc15377223"/>
      <w:r>
        <w:rPr>
          <w:rFonts w:hint="eastAsia" w:ascii="楷体" w:hAnsi="楷体" w:eastAsia="楷体" w:cs="楷体"/>
          <w:b/>
          <w:color w:val="000000"/>
          <w:sz w:val="32"/>
          <w:szCs w:val="32"/>
        </w:rPr>
        <w:t>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年，科协政府采购支出总额</w:t>
      </w:r>
      <w:r>
        <w:rPr>
          <w:rFonts w:ascii="仿宋_GB2312" w:eastAsia="仿宋_GB2312"/>
          <w:color w:val="000000"/>
          <w:sz w:val="32"/>
          <w:szCs w:val="32"/>
        </w:rPr>
        <w:t>0</w:t>
      </w:r>
      <w:r>
        <w:rPr>
          <w:rFonts w:hint="eastAsia" w:ascii="仿宋_GB2312" w:eastAsia="仿宋_GB2312"/>
          <w:color w:val="000000"/>
          <w:sz w:val="32"/>
          <w:szCs w:val="32"/>
        </w:rPr>
        <w:t>万元。</w:t>
      </w:r>
    </w:p>
    <w:p>
      <w:pPr>
        <w:pageBreakBefore w:val="0"/>
        <w:kinsoku/>
        <w:wordWrap/>
        <w:overflowPunct/>
        <w:topLinePunct w:val="0"/>
        <w:bidi w:val="0"/>
        <w:spacing w:line="578" w:lineRule="atLeast"/>
        <w:ind w:firstLine="643" w:firstLineChars="200"/>
        <w:textAlignment w:val="auto"/>
        <w:outlineLvl w:val="2"/>
        <w:rPr>
          <w:rFonts w:hint="eastAsia" w:ascii="楷体" w:hAnsi="楷体" w:eastAsia="楷体" w:cs="楷体"/>
          <w:b/>
          <w:color w:val="000000"/>
          <w:sz w:val="32"/>
          <w:szCs w:val="32"/>
        </w:rPr>
      </w:pPr>
      <w:bookmarkStart w:id="54" w:name="_Toc15377224"/>
      <w:r>
        <w:rPr>
          <w:rFonts w:hint="eastAsia" w:ascii="楷体" w:hAnsi="楷体" w:eastAsia="楷体" w:cs="楷体"/>
          <w:b/>
          <w:color w:val="000000"/>
          <w:sz w:val="32"/>
          <w:szCs w:val="32"/>
        </w:rPr>
        <w:t>（三）国有资产占有使用情况</w:t>
      </w:r>
      <w:bookmarkEnd w:id="54"/>
    </w:p>
    <w:p>
      <w:pPr>
        <w:pageBreakBefore w:val="0"/>
        <w:kinsoku/>
        <w:wordWrap/>
        <w:overflowPunct/>
        <w:topLinePunct w:val="0"/>
        <w:autoSpaceDE w:val="0"/>
        <w:autoSpaceDN w:val="0"/>
        <w:bidi w:val="0"/>
        <w:adjustRightInd w:val="0"/>
        <w:spacing w:line="578" w:lineRule="atLeast"/>
        <w:ind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科协无车辆。</w:t>
      </w:r>
    </w:p>
    <w:p>
      <w:pPr>
        <w:pageBreakBefore w:val="0"/>
        <w:kinsoku/>
        <w:wordWrap/>
        <w:overflowPunct/>
        <w:topLinePunct w:val="0"/>
        <w:bidi w:val="0"/>
        <w:spacing w:line="578" w:lineRule="atLeast"/>
        <w:ind w:firstLine="643" w:firstLineChars="200"/>
        <w:textAlignment w:val="auto"/>
        <w:rPr>
          <w:rFonts w:ascii="仿宋_GB2312" w:eastAsia="仿宋_GB2312"/>
          <w:b/>
          <w:color w:val="000000"/>
          <w:sz w:val="32"/>
          <w:szCs w:val="32"/>
        </w:rPr>
      </w:pPr>
    </w:p>
    <w:p>
      <w:pPr>
        <w:pageBreakBefore w:val="0"/>
        <w:widowControl/>
        <w:kinsoku/>
        <w:wordWrap/>
        <w:overflowPunct/>
        <w:topLinePunct w:val="0"/>
        <w:bidi w:val="0"/>
        <w:spacing w:line="578" w:lineRule="atLeast"/>
        <w:jc w:val="left"/>
        <w:textAlignment w:val="auto"/>
        <w:rPr>
          <w:rFonts w:ascii="仿宋_GB2312" w:eastAsia="仿宋_GB2312"/>
          <w:b/>
          <w:color w:val="000000"/>
          <w:sz w:val="32"/>
          <w:szCs w:val="32"/>
        </w:rPr>
      </w:pPr>
      <w:r>
        <w:rPr>
          <w:rFonts w:ascii="仿宋_GB2312" w:eastAsia="仿宋_GB2312"/>
          <w:b/>
          <w:color w:val="000000"/>
          <w:sz w:val="32"/>
          <w:szCs w:val="32"/>
        </w:rPr>
        <w:br w:type="page"/>
      </w:r>
    </w:p>
    <w:p>
      <w:pPr>
        <w:pageBreakBefore w:val="0"/>
        <w:numPr>
          <w:ilvl w:val="0"/>
          <w:numId w:val="3"/>
        </w:numPr>
        <w:kinsoku/>
        <w:wordWrap/>
        <w:overflowPunct/>
        <w:topLinePunct w:val="0"/>
        <w:bidi w:val="0"/>
        <w:spacing w:line="578" w:lineRule="atLeast"/>
        <w:ind w:firstLine="663" w:firstLineChars="150"/>
        <w:jc w:val="center"/>
        <w:textAlignment w:val="auto"/>
        <w:outlineLvl w:val="0"/>
        <w:rPr>
          <w:rStyle w:val="25"/>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pageBreakBefore w:val="0"/>
        <w:kinsoku/>
        <w:wordWrap/>
        <w:overflowPunct/>
        <w:topLinePunct w:val="0"/>
        <w:bidi w:val="0"/>
        <w:spacing w:line="578" w:lineRule="atLeast"/>
        <w:jc w:val="left"/>
        <w:textAlignment w:val="auto"/>
        <w:rPr>
          <w:rFonts w:ascii="宋体"/>
          <w:b/>
          <w:color w:val="000000"/>
          <w:sz w:val="44"/>
          <w:szCs w:val="44"/>
        </w:rPr>
      </w:pP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1.财政拨款收入：指单位从同级财政部门取得的财政预算资金。</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2.上级补助收入：指事业单位从主管部门和上级单位取得的非财政补助收入。</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3.其他收入：指单位取得的除上述收入以外的各项收入。</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4.教育（类）进修及培训（款）培训支出（项）：反映各部门安排的用于培训的支出。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5.科学技术（类）科学技术管理事务（款）行政运行（项）：反映行政单位（包括实行公务员管理的事业单位）的基本支出。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6.科学技术（类）科学技术管理事务（款）一般行政管理事务（项）：反映行政单位（包括实行公务员管理的事业单位）未单独设置项级科目的其他项目支出。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7.科学技术（类）科学技术管理事务（款）机关服务（项）：反映行政单位（包括实行公务员管理的事业单位）提供后勤服务的各类后勤服务中心、医务室等附属事业单位的支出。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8.科学技术（类）技术研究与开发（款）应用技术研究与开发（项）：反映从事技术开发研究与近期可望取得实用价值的专项技术开发研究的支出。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9.科学技术（类）科学技术普及（款）机构运行（项）：反映科普事业单位的基本支出。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10.科学技术（类）科学技术普及（款）科普活动（项）：反映用于开展科普活动的支出。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11.科学技术（类）科学技术普及（款）青少年科技活动（项）：反映开展青少年科技活动的支出。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12.科学技术（类）科学技术普及（款）学术交流活动（项）：反映开展学术交流活动、编制学术期刊和学会补助等方面的支出。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13.科学技术（类）科学技术普及（款）其他科学技术普及（项）：反映除上述项目以外其他用于科学技术普及方面的支出。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14.社会保障和就业（类）行政事业单位离退休（款）事业单位离退休（项）：反映实行归口管理的事业单位开支的离退休经费。</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15.社会保障和就业（类）行政事业单位离退休（款）未归口管理的行政单位离退休（项）：反映未实行归口管理的行政单位（包括实行公务员管理的事业单位）开支的离退休支出。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16.社会保障和就业（类）行政事业单位离退休（款）机关事业单位基本养老保险缴费（项）：反映机关事业单位实施养老保险制度由单位缴纳的基本养老保险费支出。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17.社会保障和就业（类）行政事业单位离退休（款）机关事业单位职业年金缴费（项）：反映机关事业单位实施养老保险制度由单位实际缴纳的职业年金支出。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18.社会保障和就业（类）其他社会保障和就业（款）其他社会保障和就业（项）：反映上述项目以外其他用于社会保障和就业方面的支出。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医疗卫生与计划生育（类）行政事业单位医疗（款）行政单位医疗（项）：反映财政部门集中安排的行政单位基本医疗保险缴费经费，未参加医疗保险的行政单位的公费医疗经费，按照规定享受离休人员、红军老战士待遇人员的医疗经费。</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医疗卫生与计划生育（类）行政事业单位医疗（款）事业单位医疗（项）：反映财政部门集中安排的事业单位基本医疗保险缴费经费，未参加医疗保险的事业单位的公费医疗经费，按国家规定享受离休人员待遇的医疗经费。</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21.医疗卫生与计划生育（类）行政事业单位医疗（款）公务员医疗（项）：反映财政部门集中安排的公务员医疗补助经费。</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22.住房保障支出（类）住房改革支出（款）住房公积金（项）:反映行政事业单位按人力资源和社会保障部、财政部规定的基本工资和津贴补贴以及规定比例为职工缴纳的住房公积金。</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23.基本支出：指为保障机构正常运转、完成日常工作任务而发生的人员支出和公用支出。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24.项目支出：指在基本支出之外为完成特定行政任务和事业发展目标所发生的支出。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2"/>
        <w:keepNext w:val="0"/>
        <w:keepLines w:val="0"/>
        <w:widowControl/>
        <w:suppressLineNumbers w:val="0"/>
        <w:shd w:val="clear" w:fill="FFFFFF"/>
        <w:spacing w:after="150" w:afterAutospacing="0" w:line="480" w:lineRule="atLeast"/>
        <w:ind w:lef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仿宋_GB2312" w:eastAsia="仿宋_GB2312" w:cs="仿宋_GB2312"/>
          <w:kern w:val="2"/>
          <w:sz w:val="32"/>
          <w:szCs w:val="32"/>
          <w:lang w:val="en-US" w:eastAsia="zh-CN" w:bidi="ar-SA"/>
        </w:rPr>
      </w:pPr>
    </w:p>
    <w:p>
      <w:pPr>
        <w:pStyle w:val="23"/>
        <w:spacing w:line="560" w:lineRule="exact"/>
        <w:ind w:firstLine="640" w:firstLineChars="200"/>
        <w:rPr>
          <w:rFonts w:ascii="仿宋_GB2312" w:hAnsi="仿宋_GB2312" w:eastAsia="仿宋_GB2312" w:cs="仿宋_GB2312"/>
          <w:kern w:val="2"/>
          <w:sz w:val="32"/>
          <w:szCs w:val="32"/>
          <w:lang w:val="en-US" w:eastAsia="zh-CN" w:bidi="ar-SA"/>
        </w:rPr>
      </w:pPr>
    </w:p>
    <w:p>
      <w:pPr>
        <w:pStyle w:val="23"/>
        <w:pageBreakBefore w:val="0"/>
        <w:kinsoku/>
        <w:wordWrap/>
        <w:overflowPunct/>
        <w:topLinePunct w:val="0"/>
        <w:bidi w:val="0"/>
        <w:spacing w:line="578" w:lineRule="atLeast"/>
        <w:ind w:firstLine="640" w:firstLineChars="200"/>
        <w:textAlignment w:val="auto"/>
        <w:rPr>
          <w:rFonts w:ascii="仿宋_GB2312" w:eastAsia="仿宋_GB2312" w:cs="黑体"/>
          <w:sz w:val="32"/>
          <w:szCs w:val="32"/>
        </w:rPr>
      </w:pPr>
      <w:r>
        <w:rPr>
          <w:rFonts w:ascii="仿宋_GB2312" w:hAnsi="仿宋_GB2312" w:eastAsia="仿宋_GB2312" w:cs="仿宋_GB2312"/>
          <w:kern w:val="2"/>
          <w:sz w:val="32"/>
          <w:szCs w:val="32"/>
          <w:lang w:val="en-US" w:eastAsia="zh-CN" w:bidi="ar-SA"/>
        </w:rPr>
        <w:br w:type="page"/>
      </w:r>
    </w:p>
    <w:p>
      <w:pPr>
        <w:pStyle w:val="3"/>
        <w:pageBreakBefore w:val="0"/>
        <w:kinsoku/>
        <w:wordWrap/>
        <w:overflowPunct/>
        <w:topLinePunct w:val="0"/>
        <w:bidi w:val="0"/>
        <w:spacing w:line="578" w:lineRule="atLeast"/>
        <w:textAlignment w:val="auto"/>
        <w:rPr>
          <w:rStyle w:val="25"/>
          <w:rFonts w:hint="eastAsia" w:ascii="黑体" w:hAnsi="黑体" w:eastAsia="黑体" w:cs="黑体"/>
          <w:b w:val="0"/>
          <w:bCs w:val="0"/>
          <w:sz w:val="32"/>
          <w:szCs w:val="32"/>
        </w:rPr>
      </w:pPr>
      <w:bookmarkStart w:id="57" w:name="_Toc15396617"/>
      <w:r>
        <w:rPr>
          <w:rStyle w:val="25"/>
          <w:rFonts w:hint="eastAsia" w:ascii="黑体" w:hAnsi="黑体" w:eastAsia="黑体" w:cs="黑体"/>
          <w:b w:val="0"/>
          <w:bCs w:val="0"/>
          <w:sz w:val="32"/>
          <w:szCs w:val="32"/>
        </w:rPr>
        <w:t>附件2</w:t>
      </w:r>
      <w:bookmarkEnd w:id="57"/>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2018年项目支出绩效评价报告</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二、评价结论及绩效分析</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outlineLvl w:val="2"/>
        <w:rPr>
          <w:rFonts w:hint="eastAsia" w:ascii="楷体" w:hAnsi="楷体" w:eastAsia="楷体" w:cs="楷体"/>
          <w:b/>
          <w:color w:val="000000"/>
          <w:sz w:val="32"/>
          <w:szCs w:val="32"/>
        </w:rPr>
      </w:pPr>
      <w:r>
        <w:rPr>
          <w:rFonts w:hint="eastAsia" w:ascii="楷体" w:hAnsi="楷体" w:eastAsia="楷体" w:cs="楷体"/>
          <w:b/>
          <w:color w:val="000000"/>
          <w:sz w:val="32"/>
          <w:szCs w:val="32"/>
        </w:rPr>
        <w:t>（一）评价结论</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outlineLvl w:val="2"/>
        <w:rPr>
          <w:rFonts w:hint="eastAsia" w:ascii="楷体" w:hAnsi="楷体" w:eastAsia="楷体" w:cs="楷体"/>
          <w:b/>
          <w:color w:val="000000"/>
          <w:sz w:val="32"/>
          <w:szCs w:val="32"/>
        </w:rPr>
      </w:pPr>
      <w:r>
        <w:rPr>
          <w:rFonts w:hint="eastAsia" w:ascii="楷体" w:hAnsi="楷体" w:eastAsia="楷体" w:cs="楷体"/>
          <w:b/>
          <w:color w:val="000000"/>
          <w:sz w:val="32"/>
          <w:szCs w:val="32"/>
        </w:rPr>
        <w:t>（二）绩效分析</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1</w:t>
      </w:r>
      <w:r>
        <w:rPr>
          <w:rFonts w:hint="eastAsia" w:ascii="仿宋" w:hAnsi="仿宋" w:eastAsia="仿宋" w:cs="仿宋_GB2312"/>
          <w:b/>
          <w:bCs/>
          <w:sz w:val="32"/>
          <w:szCs w:val="32"/>
          <w:lang w:val="en-US" w:eastAsia="zh-CN"/>
        </w:rPr>
        <w:t>.</w:t>
      </w:r>
      <w:r>
        <w:rPr>
          <w:rFonts w:ascii="仿宋" w:hAnsi="仿宋" w:eastAsia="仿宋" w:cs="仿宋_GB2312"/>
          <w:b/>
          <w:bCs/>
          <w:sz w:val="32"/>
          <w:szCs w:val="32"/>
        </w:rPr>
        <w:t>项目决策</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2</w:t>
      </w:r>
      <w:r>
        <w:rPr>
          <w:rFonts w:hint="eastAsia" w:ascii="仿宋" w:hAnsi="仿宋" w:eastAsia="仿宋" w:cs="仿宋_GB2312"/>
          <w:b/>
          <w:bCs/>
          <w:sz w:val="32"/>
          <w:szCs w:val="32"/>
          <w:lang w:val="en-US" w:eastAsia="zh-CN"/>
        </w:rPr>
        <w:t>.</w:t>
      </w:r>
      <w:r>
        <w:rPr>
          <w:rFonts w:ascii="仿宋" w:hAnsi="仿宋" w:eastAsia="仿宋" w:cs="仿宋_GB2312"/>
          <w:b/>
          <w:bCs/>
          <w:sz w:val="32"/>
          <w:szCs w:val="32"/>
        </w:rPr>
        <w:t>项目管理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3</w:t>
      </w:r>
      <w:r>
        <w:rPr>
          <w:rFonts w:hint="eastAsia" w:ascii="仿宋" w:hAnsi="仿宋" w:eastAsia="仿宋" w:cs="仿宋_GB2312"/>
          <w:b/>
          <w:bCs/>
          <w:sz w:val="32"/>
          <w:szCs w:val="32"/>
          <w:lang w:val="en-US" w:eastAsia="zh-CN"/>
        </w:rPr>
        <w:t>.</w:t>
      </w:r>
      <w:r>
        <w:rPr>
          <w:rFonts w:ascii="仿宋" w:hAnsi="仿宋" w:eastAsia="仿宋" w:cs="仿宋_GB2312"/>
          <w:b/>
          <w:bCs/>
          <w:sz w:val="32"/>
          <w:szCs w:val="32"/>
        </w:rPr>
        <w:t>项目绩效</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三、存在主要问题</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Style w:val="25"/>
          <w:rFonts w:hint="eastAsia" w:ascii="黑体" w:hAnsi="黑体" w:eastAsia="黑体" w:cs="黑体"/>
          <w:b w:val="0"/>
          <w:bCs w:val="0"/>
          <w:kern w:val="2"/>
          <w:sz w:val="32"/>
          <w:szCs w:val="32"/>
        </w:rPr>
      </w:pPr>
      <w:r>
        <w:rPr>
          <w:rFonts w:hint="eastAsia" w:ascii="黑体" w:hAnsi="黑体" w:eastAsia="黑体" w:cs="黑体"/>
          <w:sz w:val="32"/>
          <w:szCs w:val="32"/>
        </w:rPr>
        <w:t>四、相关措施建议</w:t>
      </w:r>
    </w:p>
    <w:p>
      <w:pPr>
        <w:pageBreakBefore w:val="0"/>
        <w:kinsoku/>
        <w:wordWrap/>
        <w:overflowPunct/>
        <w:topLinePunct w:val="0"/>
        <w:bidi w:val="0"/>
        <w:spacing w:line="578" w:lineRule="atLeast"/>
        <w:jc w:val="center"/>
        <w:textAlignment w:val="auto"/>
        <w:outlineLvl w:val="0"/>
        <w:rPr>
          <w:rFonts w:hint="eastAsia" w:ascii="黑体" w:hAnsi="黑体" w:eastAsia="黑体"/>
          <w:color w:val="000000"/>
          <w:sz w:val="44"/>
          <w:szCs w:val="44"/>
        </w:rPr>
      </w:pPr>
      <w:bookmarkStart w:id="58" w:name="_Toc15396618"/>
    </w:p>
    <w:p>
      <w:pPr>
        <w:pageBreakBefore w:val="0"/>
        <w:kinsoku/>
        <w:wordWrap/>
        <w:overflowPunct/>
        <w:topLinePunct w:val="0"/>
        <w:bidi w:val="0"/>
        <w:spacing w:line="578" w:lineRule="atLeast"/>
        <w:jc w:val="center"/>
        <w:textAlignment w:val="auto"/>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8"/>
    </w:p>
    <w:p>
      <w:pPr>
        <w:pageBreakBefore w:val="0"/>
        <w:kinsoku/>
        <w:wordWrap/>
        <w:overflowPunct/>
        <w:topLinePunct w:val="0"/>
        <w:bidi w:val="0"/>
        <w:spacing w:line="578" w:lineRule="atLeast"/>
        <w:jc w:val="center"/>
        <w:textAlignment w:val="auto"/>
        <w:outlineLvl w:val="0"/>
        <w:rPr>
          <w:rFonts w:ascii="仿宋" w:hAnsi="仿宋" w:eastAsia="仿宋"/>
          <w:b/>
          <w:color w:val="000000"/>
          <w:sz w:val="44"/>
          <w:szCs w:val="44"/>
        </w:rPr>
      </w:pPr>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59"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9"/>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60"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0"/>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61"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1"/>
    </w:p>
    <w:p>
      <w:pPr>
        <w:pStyle w:val="3"/>
        <w:pageBreakBefore w:val="0"/>
        <w:widowControl w:val="0"/>
        <w:kinsoku/>
        <w:wordWrap/>
        <w:overflowPunct/>
        <w:topLinePunct w:val="0"/>
        <w:bidi w:val="0"/>
        <w:snapToGrid/>
        <w:spacing w:line="578" w:lineRule="exact"/>
        <w:textAlignment w:val="auto"/>
        <w:rPr>
          <w:rFonts w:ascii="仿宋" w:hAnsi="仿宋" w:eastAsia="仿宋"/>
          <w:b w:val="0"/>
          <w:color w:val="000000"/>
        </w:rPr>
      </w:pPr>
      <w:bookmarkStart w:id="62"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2"/>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63"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3"/>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64"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4"/>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65"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5"/>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66"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6"/>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67"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7"/>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68"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8"/>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69"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9"/>
    </w:p>
    <w:p>
      <w:pPr>
        <w:pStyle w:val="3"/>
        <w:pageBreakBefore w:val="0"/>
        <w:widowControl w:val="0"/>
        <w:kinsoku/>
        <w:wordWrap/>
        <w:overflowPunct/>
        <w:topLinePunct w:val="0"/>
        <w:bidi w:val="0"/>
        <w:snapToGrid/>
        <w:spacing w:line="578" w:lineRule="exact"/>
        <w:textAlignment w:val="auto"/>
        <w:rPr>
          <w:rFonts w:ascii="仿宋" w:hAnsi="仿宋" w:eastAsia="仿宋"/>
          <w:color w:val="000000"/>
        </w:rPr>
      </w:pPr>
      <w:bookmarkStart w:id="70"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0"/>
    </w:p>
    <w:p>
      <w:pPr>
        <w:pStyle w:val="3"/>
        <w:pageBreakBefore w:val="0"/>
        <w:widowControl w:val="0"/>
        <w:kinsoku/>
        <w:wordWrap/>
        <w:overflowPunct/>
        <w:topLinePunct w:val="0"/>
        <w:bidi w:val="0"/>
        <w:snapToGrid/>
        <w:spacing w:line="578" w:lineRule="exact"/>
        <w:textAlignment w:val="auto"/>
        <w:rPr>
          <w:rFonts w:ascii="仿宋" w:hAnsi="仿宋" w:eastAsia="仿宋"/>
          <w:color w:val="000000" w:themeColor="text1"/>
          <w14:textFill>
            <w14:solidFill>
              <w14:schemeClr w14:val="tx1"/>
            </w14:solidFill>
          </w14:textFill>
        </w:rPr>
      </w:pPr>
      <w:bookmarkStart w:id="71"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1"/>
    </w:p>
    <w:p>
      <w:pPr>
        <w:pStyle w:val="23"/>
        <w:pageBreakBefore w:val="0"/>
        <w:widowControl w:val="0"/>
        <w:kinsoku/>
        <w:wordWrap/>
        <w:overflowPunct/>
        <w:topLinePunct w:val="0"/>
        <w:bidi w:val="0"/>
        <w:snapToGrid/>
        <w:spacing w:line="578" w:lineRule="exact"/>
        <w:textAlignment w:val="auto"/>
        <w:rPr>
          <w:rFonts w:ascii="仿宋_GB2312" w:eastAsia="仿宋_GB2312" w:cs="黑体"/>
          <w:sz w:val="32"/>
          <w:szCs w:val="32"/>
        </w:rPr>
      </w:pPr>
    </w:p>
    <w:p>
      <w:pPr>
        <w:pageBreakBefore w:val="0"/>
        <w:kinsoku/>
        <w:wordWrap/>
        <w:overflowPunct/>
        <w:topLinePunct w:val="0"/>
        <w:bidi w:val="0"/>
        <w:spacing w:line="578" w:lineRule="atLeast"/>
        <w:textAlignment w:val="auto"/>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7E31E"/>
    <w:multiLevelType w:val="singleLevel"/>
    <w:tmpl w:val="BA27E31E"/>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2D55D4"/>
    <w:rsid w:val="01AE5AAF"/>
    <w:rsid w:val="0293288B"/>
    <w:rsid w:val="07A2448E"/>
    <w:rsid w:val="07E20118"/>
    <w:rsid w:val="09202E95"/>
    <w:rsid w:val="09AC4637"/>
    <w:rsid w:val="09DF494E"/>
    <w:rsid w:val="0A1D1AC0"/>
    <w:rsid w:val="0A5C4324"/>
    <w:rsid w:val="0AE45331"/>
    <w:rsid w:val="0D414882"/>
    <w:rsid w:val="0F2E46E2"/>
    <w:rsid w:val="0FA62F02"/>
    <w:rsid w:val="10C055FF"/>
    <w:rsid w:val="10E468AF"/>
    <w:rsid w:val="117D3800"/>
    <w:rsid w:val="1185750E"/>
    <w:rsid w:val="11E802F3"/>
    <w:rsid w:val="147C66FD"/>
    <w:rsid w:val="15BF42AA"/>
    <w:rsid w:val="16BB723D"/>
    <w:rsid w:val="19605FD1"/>
    <w:rsid w:val="1A535BAC"/>
    <w:rsid w:val="1A584449"/>
    <w:rsid w:val="1A787209"/>
    <w:rsid w:val="1B8304E0"/>
    <w:rsid w:val="204A3F4E"/>
    <w:rsid w:val="216A731A"/>
    <w:rsid w:val="21B27458"/>
    <w:rsid w:val="22A17521"/>
    <w:rsid w:val="23473278"/>
    <w:rsid w:val="240371BF"/>
    <w:rsid w:val="26AF0763"/>
    <w:rsid w:val="26E51788"/>
    <w:rsid w:val="298209E7"/>
    <w:rsid w:val="29FD04D3"/>
    <w:rsid w:val="2AFF33B5"/>
    <w:rsid w:val="2B7E70D8"/>
    <w:rsid w:val="2C490687"/>
    <w:rsid w:val="2D201866"/>
    <w:rsid w:val="2D5D2A6C"/>
    <w:rsid w:val="2DD7178F"/>
    <w:rsid w:val="2DE3610D"/>
    <w:rsid w:val="2E500F53"/>
    <w:rsid w:val="2F5E3DFC"/>
    <w:rsid w:val="319F7F4E"/>
    <w:rsid w:val="31C871CB"/>
    <w:rsid w:val="32F079F0"/>
    <w:rsid w:val="3448342A"/>
    <w:rsid w:val="34901FB2"/>
    <w:rsid w:val="34F41ADD"/>
    <w:rsid w:val="377830B1"/>
    <w:rsid w:val="377A7B9E"/>
    <w:rsid w:val="37CA3BA9"/>
    <w:rsid w:val="381545C9"/>
    <w:rsid w:val="382F1A99"/>
    <w:rsid w:val="395D2AAD"/>
    <w:rsid w:val="3A376B02"/>
    <w:rsid w:val="3A934DB8"/>
    <w:rsid w:val="3B055603"/>
    <w:rsid w:val="3BFC0E66"/>
    <w:rsid w:val="3D675503"/>
    <w:rsid w:val="3DE771B6"/>
    <w:rsid w:val="402066B2"/>
    <w:rsid w:val="40280120"/>
    <w:rsid w:val="40DA53FC"/>
    <w:rsid w:val="410C0BEB"/>
    <w:rsid w:val="41F21422"/>
    <w:rsid w:val="429215A1"/>
    <w:rsid w:val="43222B77"/>
    <w:rsid w:val="43717372"/>
    <w:rsid w:val="44132227"/>
    <w:rsid w:val="44507D55"/>
    <w:rsid w:val="44A25F95"/>
    <w:rsid w:val="45086D1B"/>
    <w:rsid w:val="458C4F5B"/>
    <w:rsid w:val="47E65CA2"/>
    <w:rsid w:val="48E11714"/>
    <w:rsid w:val="493C0896"/>
    <w:rsid w:val="4A8112AB"/>
    <w:rsid w:val="4A990CF4"/>
    <w:rsid w:val="4C07366A"/>
    <w:rsid w:val="4C4E2FBF"/>
    <w:rsid w:val="4DAC1549"/>
    <w:rsid w:val="4E796B4B"/>
    <w:rsid w:val="4E990C87"/>
    <w:rsid w:val="4F80725E"/>
    <w:rsid w:val="4FA94BCB"/>
    <w:rsid w:val="528B5BAF"/>
    <w:rsid w:val="52B228A4"/>
    <w:rsid w:val="52C51EC6"/>
    <w:rsid w:val="532A5C8E"/>
    <w:rsid w:val="533C1755"/>
    <w:rsid w:val="53FD2B2A"/>
    <w:rsid w:val="553A3F85"/>
    <w:rsid w:val="563716BE"/>
    <w:rsid w:val="57234EC7"/>
    <w:rsid w:val="57F10878"/>
    <w:rsid w:val="58693179"/>
    <w:rsid w:val="588758F6"/>
    <w:rsid w:val="594353EC"/>
    <w:rsid w:val="5C010AE7"/>
    <w:rsid w:val="5C780913"/>
    <w:rsid w:val="5E0338D4"/>
    <w:rsid w:val="60277D95"/>
    <w:rsid w:val="610361C0"/>
    <w:rsid w:val="615F59BA"/>
    <w:rsid w:val="6195332E"/>
    <w:rsid w:val="61B817EC"/>
    <w:rsid w:val="634532EA"/>
    <w:rsid w:val="637A2956"/>
    <w:rsid w:val="648D2FED"/>
    <w:rsid w:val="67EF0CB6"/>
    <w:rsid w:val="68516C40"/>
    <w:rsid w:val="6A2C2C70"/>
    <w:rsid w:val="6B2C422E"/>
    <w:rsid w:val="6B2F3D0A"/>
    <w:rsid w:val="6B354152"/>
    <w:rsid w:val="6B8E1FF7"/>
    <w:rsid w:val="6DA12ED8"/>
    <w:rsid w:val="6E2A117D"/>
    <w:rsid w:val="6E333362"/>
    <w:rsid w:val="6F2802ED"/>
    <w:rsid w:val="6F614EE9"/>
    <w:rsid w:val="716F34D6"/>
    <w:rsid w:val="71B132B1"/>
    <w:rsid w:val="7308375E"/>
    <w:rsid w:val="736A0574"/>
    <w:rsid w:val="739D3E1D"/>
    <w:rsid w:val="74E16672"/>
    <w:rsid w:val="74FA311E"/>
    <w:rsid w:val="75EC232B"/>
    <w:rsid w:val="762B0EC1"/>
    <w:rsid w:val="77862F12"/>
    <w:rsid w:val="7A5F5728"/>
    <w:rsid w:val="7A703B6B"/>
    <w:rsid w:val="7ABE39BB"/>
    <w:rsid w:val="7C225F4D"/>
    <w:rsid w:val="7C2B7381"/>
    <w:rsid w:val="7E8C7B8C"/>
    <w:rsid w:val="7EE4025A"/>
    <w:rsid w:val="7F8D0A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jc w:val="left"/>
    </w:pPr>
    <w:rPr>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55</TotalTime>
  <ScaleCrop>false</ScaleCrop>
  <LinksUpToDate>false</LinksUpToDate>
  <CharactersWithSpaces>9641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辉辉</cp:lastModifiedBy>
  <cp:lastPrinted>2019-08-01T00:48:00Z</cp:lastPrinted>
  <dcterms:modified xsi:type="dcterms:W3CDTF">2021-06-14T02:59:44Z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6AD9B42192924D43B8638C3665A7ABFB</vt:lpwstr>
  </property>
</Properties>
</file>