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仿宋" w:hAnsi="仿宋" w:eastAsia="仿宋" w:cs="仿宋"/>
          <w:color w:val="000000"/>
          <w:sz w:val="72"/>
          <w:szCs w:val="72"/>
        </w:rPr>
      </w:pPr>
      <w:bookmarkStart w:id="1" w:name="_Toc15377425"/>
      <w:bookmarkStart w:id="2" w:name="_Toc15396475"/>
      <w:bookmarkStart w:id="3" w:name="_Toc15378441"/>
      <w:bookmarkStart w:id="4" w:name="_Toc15377193"/>
      <w:bookmarkStart w:id="5" w:name="_Toc15396597"/>
      <w:r>
        <w:rPr>
          <w:rFonts w:hint="eastAsia" w:ascii="仿宋" w:hAnsi="仿宋" w:eastAsia="仿宋" w:cs="仿宋"/>
          <w:color w:val="000000"/>
          <w:sz w:val="72"/>
          <w:szCs w:val="72"/>
        </w:rPr>
        <w:t>2018年度</w:t>
      </w:r>
      <w:bookmarkEnd w:id="1"/>
      <w:bookmarkEnd w:id="2"/>
      <w:bookmarkEnd w:id="3"/>
      <w:bookmarkEnd w:id="4"/>
      <w:bookmarkEnd w:id="5"/>
    </w:p>
    <w:p>
      <w:pPr>
        <w:adjustRightInd w:val="0"/>
        <w:snapToGrid w:val="0"/>
        <w:spacing w:line="360" w:lineRule="auto"/>
        <w:jc w:val="center"/>
        <w:outlineLvl w:val="0"/>
        <w:rPr>
          <w:rFonts w:hint="eastAsia" w:ascii="仿宋" w:hAnsi="仿宋" w:eastAsia="仿宋" w:cs="仿宋"/>
          <w:color w:val="000000"/>
          <w:sz w:val="72"/>
          <w:szCs w:val="72"/>
        </w:rPr>
      </w:pPr>
      <w:bookmarkStart w:id="6" w:name="_Toc15377194"/>
      <w:bookmarkStart w:id="7" w:name="_Toc15396598"/>
      <w:bookmarkStart w:id="8" w:name="_Toc15396476"/>
      <w:bookmarkStart w:id="9" w:name="_Toc15377426"/>
      <w:bookmarkStart w:id="10" w:name="_Toc15378442"/>
      <w:r>
        <w:rPr>
          <w:rFonts w:hint="eastAsia" w:ascii="仿宋" w:hAnsi="仿宋" w:eastAsia="仿宋" w:cs="仿宋"/>
          <w:color w:val="000000"/>
          <w:sz w:val="72"/>
          <w:szCs w:val="72"/>
        </w:rPr>
        <w:t>四川省</w:t>
      </w:r>
      <w:bookmarkEnd w:id="0"/>
      <w:bookmarkStart w:id="11" w:name="_Toc15306268"/>
      <w:r>
        <w:rPr>
          <w:rFonts w:hint="eastAsia" w:ascii="仿宋" w:hAnsi="仿宋" w:eastAsia="仿宋" w:cs="仿宋"/>
          <w:color w:val="000000"/>
          <w:sz w:val="72"/>
          <w:szCs w:val="72"/>
        </w:rPr>
        <w:t>开江县图书馆部门决算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公开时间：2019年9月20日</w:t>
      </w:r>
    </w:p>
    <w:p/>
    <w:p>
      <w:pPr>
        <w:pStyle w:val="10"/>
        <w:rPr>
          <w:rFonts w:cstheme="minorBidi"/>
        </w:rPr>
      </w:pPr>
      <w:r>
        <w:fldChar w:fldCharType="begin"/>
      </w:r>
      <w:r>
        <w:instrText xml:space="preserve"> HYPERLINK \l "_Toc15396599" </w:instrText>
      </w:r>
      <w:r>
        <w:fldChar w:fldCharType="separate"/>
      </w:r>
      <w:r>
        <w:rPr>
          <w:rStyle w:val="18"/>
          <w:rFonts w:hint="eastAsia"/>
        </w:rPr>
        <w:t>第一部分</w:t>
      </w:r>
      <w:r>
        <w:rPr>
          <w:rStyle w:val="18"/>
        </w:rPr>
        <w:t xml:space="preserve"> </w:t>
      </w:r>
      <w:r>
        <w:rPr>
          <w:rStyle w:val="18"/>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8"/>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8"/>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8"/>
          <w:rFonts w:hint="eastAsia"/>
        </w:rPr>
        <w:t>第二部分</w:t>
      </w:r>
      <w:r>
        <w:rPr>
          <w:rStyle w:val="18"/>
        </w:rPr>
        <w:t xml:space="preserve"> 2018</w:t>
      </w:r>
      <w:r>
        <w:rPr>
          <w:rStyle w:val="18"/>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8"/>
          <w:rFonts w:hint="eastAsia" w:ascii="仿宋" w:hAnsi="仿宋" w:eastAsia="仿宋" w:cstheme="majorBidi"/>
          <w:bCs/>
          <w:sz w:val="28"/>
          <w:szCs w:val="28"/>
        </w:rPr>
        <w:t>一、</w:t>
      </w:r>
      <w:r>
        <w:rPr>
          <w:rStyle w:val="18"/>
          <w:rFonts w:hint="eastAsia" w:ascii="仿宋" w:hAnsi="仿宋" w:eastAsia="仿宋"/>
          <w:sz w:val="28"/>
          <w:szCs w:val="28"/>
        </w:rPr>
        <w:t>收</w:t>
      </w:r>
      <w:r>
        <w:rPr>
          <w:rStyle w:val="18"/>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8"/>
          <w:rFonts w:hint="eastAsia" w:ascii="仿宋" w:hAnsi="仿宋" w:eastAsia="仿宋" w:cstheme="majorBidi"/>
          <w:bCs/>
          <w:sz w:val="28"/>
          <w:szCs w:val="28"/>
        </w:rPr>
        <w:t>二、</w:t>
      </w:r>
      <w:r>
        <w:rPr>
          <w:rStyle w:val="18"/>
          <w:rFonts w:hint="eastAsia" w:ascii="仿宋" w:hAnsi="仿宋" w:eastAsia="仿宋"/>
          <w:sz w:val="28"/>
          <w:szCs w:val="28"/>
        </w:rPr>
        <w:t>收</w:t>
      </w:r>
      <w:r>
        <w:rPr>
          <w:rStyle w:val="18"/>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8"/>
          <w:rFonts w:hint="eastAsia" w:ascii="仿宋" w:hAnsi="仿宋" w:eastAsia="仿宋" w:cstheme="majorBidi"/>
          <w:bCs/>
          <w:sz w:val="28"/>
          <w:szCs w:val="28"/>
        </w:rPr>
        <w:t>三、</w:t>
      </w:r>
      <w:r>
        <w:rPr>
          <w:rStyle w:val="18"/>
          <w:rFonts w:hint="eastAsia" w:ascii="仿宋" w:hAnsi="仿宋" w:eastAsia="仿宋"/>
          <w:sz w:val="28"/>
          <w:szCs w:val="28"/>
        </w:rPr>
        <w:t>支</w:t>
      </w:r>
      <w:r>
        <w:rPr>
          <w:rStyle w:val="18"/>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8"/>
          <w:rFonts w:hint="eastAsia" w:ascii="仿宋" w:hAnsi="仿宋" w:eastAsia="仿宋"/>
          <w:sz w:val="28"/>
          <w:szCs w:val="28"/>
        </w:rPr>
        <w:t>四、财</w:t>
      </w:r>
      <w:r>
        <w:rPr>
          <w:rStyle w:val="18"/>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8"/>
          <w:rFonts w:hint="eastAsia" w:ascii="仿宋" w:hAnsi="仿宋" w:eastAsia="仿宋"/>
          <w:sz w:val="28"/>
          <w:szCs w:val="28"/>
        </w:rPr>
        <w:t>五、一</w:t>
      </w:r>
      <w:r>
        <w:rPr>
          <w:rStyle w:val="18"/>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8"/>
          <w:rFonts w:hint="eastAsia" w:ascii="仿宋" w:hAnsi="仿宋" w:eastAsia="仿宋"/>
          <w:sz w:val="28"/>
          <w:szCs w:val="28"/>
        </w:rPr>
        <w:t>六、一</w:t>
      </w:r>
      <w:r>
        <w:rPr>
          <w:rStyle w:val="18"/>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9</w:t>
      </w:r>
      <w:r>
        <w:rPr>
          <w:rFonts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"_Toc15396609" </w:instrText>
      </w:r>
      <w:r>
        <w:fldChar w:fldCharType="separate"/>
      </w:r>
      <w:r>
        <w:rPr>
          <w:rStyle w:val="18"/>
          <w:rFonts w:hint="eastAsia" w:ascii="仿宋" w:hAnsi="仿宋" w:eastAsia="仿宋"/>
          <w:sz w:val="28"/>
          <w:szCs w:val="28"/>
        </w:rPr>
        <w:t>七、</w:t>
      </w:r>
      <w:r>
        <w:rPr>
          <w:rStyle w:val="18"/>
          <w:rFonts w:ascii="仿宋" w:hAnsi="仿宋" w:eastAsia="仿宋"/>
          <w:sz w:val="28"/>
          <w:szCs w:val="28"/>
        </w:rPr>
        <w:t>“</w:t>
      </w:r>
      <w:r>
        <w:rPr>
          <w:rStyle w:val="18"/>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val="en-US" w:eastAsia="zh-CN"/>
        </w:rPr>
      </w:pPr>
      <w:r>
        <w:fldChar w:fldCharType="begin"/>
      </w:r>
      <w:r>
        <w:instrText xml:space="preserve"> HYPERLINK \l "_Toc15396610" </w:instrText>
      </w:r>
      <w:r>
        <w:fldChar w:fldCharType="separate"/>
      </w:r>
      <w:r>
        <w:rPr>
          <w:rStyle w:val="18"/>
          <w:rFonts w:hint="eastAsia" w:ascii="仿宋" w:hAnsi="仿宋" w:eastAsia="仿宋"/>
          <w:sz w:val="28"/>
          <w:szCs w:val="28"/>
        </w:rPr>
        <w:t>八、</w:t>
      </w:r>
      <w:r>
        <w:rPr>
          <w:rStyle w:val="18"/>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sz w:val="28"/>
          <w:szCs w:val="28"/>
          <w:lang w:val="en-US" w:eastAsia="zh-CN"/>
        </w:rPr>
      </w:pPr>
      <w:r>
        <w:fldChar w:fldCharType="begin"/>
      </w:r>
      <w:r>
        <w:instrText xml:space="preserve"> HYPERLINK \l "_Toc15396611" </w:instrText>
      </w:r>
      <w:r>
        <w:fldChar w:fldCharType="separate"/>
      </w:r>
      <w:r>
        <w:rPr>
          <w:rStyle w:val="18"/>
          <w:rFonts w:hint="eastAsia" w:ascii="仿宋" w:hAnsi="仿宋" w:eastAsia="仿宋" w:cstheme="majorBidi"/>
          <w:bCs/>
          <w:sz w:val="28"/>
          <w:szCs w:val="28"/>
        </w:rPr>
        <w:t>九、</w:t>
      </w:r>
      <w:r>
        <w:rPr>
          <w:rStyle w:val="18"/>
          <w:rFonts w:hint="eastAsia" w:ascii="仿宋" w:hAnsi="仿宋" w:eastAsia="仿宋"/>
          <w:sz w:val="28"/>
          <w:szCs w:val="28"/>
        </w:rPr>
        <w:t xml:space="preserve"> 国</w:t>
      </w:r>
      <w:r>
        <w:rPr>
          <w:rStyle w:val="18"/>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sz w:val="28"/>
          <w:szCs w:val="28"/>
          <w:lang w:val="en-US" w:eastAsia="zh-CN"/>
        </w:rPr>
      </w:pPr>
      <w:r>
        <w:fldChar w:fldCharType="begin"/>
      </w:r>
      <w:r>
        <w:instrText xml:space="preserve"> HYPERLINK \l "_Toc15396611" </w:instrText>
      </w:r>
      <w:r>
        <w:fldChar w:fldCharType="separate"/>
      </w:r>
      <w:r>
        <w:rPr>
          <w:rFonts w:hint="eastAsia"/>
          <w:lang w:eastAsia="zh-CN"/>
        </w:rPr>
        <w:t>十</w:t>
      </w:r>
      <w:r>
        <w:rPr>
          <w:rStyle w:val="18"/>
          <w:rFonts w:hint="eastAsia" w:ascii="仿宋" w:hAnsi="仿宋" w:eastAsia="仿宋" w:cstheme="majorBidi"/>
          <w:bCs/>
          <w:sz w:val="28"/>
          <w:szCs w:val="28"/>
        </w:rPr>
        <w:t>、</w:t>
      </w:r>
      <w:r>
        <w:rPr>
          <w:rStyle w:val="18"/>
          <w:rFonts w:hint="eastAsia" w:ascii="仿宋" w:hAnsi="仿宋" w:eastAsia="仿宋"/>
          <w:sz w:val="28"/>
          <w:szCs w:val="28"/>
        </w:rPr>
        <w:t xml:space="preserve"> </w:t>
      </w:r>
      <w:r>
        <w:rPr>
          <w:rStyle w:val="18"/>
          <w:rFonts w:hint="eastAsia" w:ascii="仿宋" w:hAnsi="仿宋" w:eastAsia="仿宋"/>
          <w:sz w:val="28"/>
          <w:szCs w:val="28"/>
          <w:lang w:eastAsia="zh-CN"/>
        </w:rPr>
        <w:t>预算情况绩效</w:t>
      </w:r>
      <w:r>
        <w:rPr>
          <w:rStyle w:val="18"/>
          <w:rFonts w:hint="eastAsia" w:ascii="仿宋" w:hAnsi="仿宋" w:eastAsia="仿宋" w:cstheme="majorBidi"/>
          <w:bCs/>
          <w:sz w:val="28"/>
          <w:szCs w:val="28"/>
        </w:rPr>
        <w:t>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8"/>
          <w:rFonts w:hint="eastAsia" w:ascii="仿宋" w:hAnsi="仿宋" w:eastAsia="仿宋"/>
          <w:sz w:val="28"/>
          <w:szCs w:val="28"/>
        </w:rPr>
        <w:t>十</w:t>
      </w:r>
      <w:r>
        <w:rPr>
          <w:rStyle w:val="18"/>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0"/>
        <w:rPr>
          <w:rFonts w:hint="eastAsia" w:eastAsia="仿宋" w:cstheme="minorBidi"/>
          <w:lang w:val="en-US" w:eastAsia="zh-CN"/>
        </w:rPr>
      </w:pPr>
      <w:r>
        <w:fldChar w:fldCharType="begin"/>
      </w:r>
      <w:r>
        <w:instrText xml:space="preserve"> HYPERLINK \l "_Toc15396613" </w:instrText>
      </w:r>
      <w:r>
        <w:fldChar w:fldCharType="separate"/>
      </w:r>
      <w:r>
        <w:rPr>
          <w:rStyle w:val="18"/>
          <w:rFonts w:hint="eastAsia"/>
          <w:bCs/>
          <w:kern w:val="44"/>
        </w:rPr>
        <w:t>第三部分</w:t>
      </w:r>
      <w:r>
        <w:rPr>
          <w:rStyle w:val="18"/>
          <w:rFonts w:hint="eastAsia"/>
        </w:rPr>
        <w:t xml:space="preserve"> 名</w:t>
      </w:r>
      <w:r>
        <w:rPr>
          <w:rStyle w:val="18"/>
          <w:rFonts w:hint="eastAsia"/>
          <w:bCs/>
          <w:kern w:val="44"/>
        </w:rPr>
        <w:t>词解释</w:t>
      </w:r>
      <w:r>
        <w:tab/>
      </w:r>
      <w:r>
        <w:rPr>
          <w:rFonts w:hint="eastAsia"/>
          <w:lang w:val="en-US" w:eastAsia="zh-CN"/>
        </w:rPr>
        <w:t>1</w:t>
      </w:r>
      <w:r>
        <w:fldChar w:fldCharType="end"/>
      </w:r>
      <w:r>
        <w:rPr>
          <w:rFonts w:hint="eastAsia"/>
          <w:lang w:val="en-US" w:eastAsia="zh-CN"/>
        </w:rPr>
        <w:t>5</w:t>
      </w:r>
      <w:bookmarkStart w:id="74" w:name="_GoBack"/>
      <w:bookmarkEnd w:id="74"/>
    </w:p>
    <w:p>
      <w:pPr>
        <w:pStyle w:val="10"/>
        <w:rPr>
          <w:rFonts w:hint="eastAsia" w:eastAsia="仿宋" w:cstheme="minorBidi"/>
          <w:lang w:val="en-US" w:eastAsia="zh-CN"/>
        </w:rPr>
      </w:pPr>
      <w:r>
        <w:fldChar w:fldCharType="begin"/>
      </w:r>
      <w:r>
        <w:instrText xml:space="preserve"> HYPERLINK \l "_Toc15396614" </w:instrText>
      </w:r>
      <w:r>
        <w:fldChar w:fldCharType="separate"/>
      </w:r>
      <w:r>
        <w:rPr>
          <w:rStyle w:val="18"/>
          <w:rFonts w:hint="eastAsia"/>
        </w:rPr>
        <w:t>第</w:t>
      </w:r>
      <w:r>
        <w:rPr>
          <w:rStyle w:val="18"/>
          <w:rFonts w:hint="eastAsia"/>
          <w:bCs/>
          <w:kern w:val="44"/>
        </w:rPr>
        <w:t>四部分</w:t>
      </w:r>
      <w:r>
        <w:rPr>
          <w:rStyle w:val="18"/>
          <w:bCs/>
          <w:kern w:val="44"/>
        </w:rPr>
        <w:t xml:space="preserve"> </w:t>
      </w:r>
      <w:r>
        <w:rPr>
          <w:rStyle w:val="18"/>
          <w:rFonts w:hint="eastAsia"/>
          <w:bCs/>
          <w:kern w:val="44"/>
        </w:rPr>
        <w:t>附件</w:t>
      </w:r>
      <w:r>
        <w:tab/>
      </w:r>
      <w:r>
        <w:rPr>
          <w:rFonts w:hint="eastAsia"/>
          <w:lang w:val="en-US" w:eastAsia="zh-CN"/>
        </w:rPr>
        <w:t>1</w:t>
      </w:r>
      <w:r>
        <w:fldChar w:fldCharType="end"/>
      </w:r>
      <w:r>
        <w:rPr>
          <w:rFonts w:hint="eastAsia"/>
          <w:lang w:val="en-US" w:eastAsia="zh-CN"/>
        </w:rPr>
        <w:t>7</w:t>
      </w:r>
    </w:p>
    <w:p>
      <w:pPr>
        <w:pStyle w:val="11"/>
        <w:rPr>
          <w:rFonts w:ascii="仿宋" w:hAnsi="仿宋" w:eastAsia="仿宋" w:cstheme="minorBidi"/>
          <w:sz w:val="28"/>
          <w:szCs w:val="28"/>
        </w:rPr>
      </w:pPr>
    </w:p>
    <w:p>
      <w:pPr>
        <w:pStyle w:val="11"/>
        <w:rPr>
          <w:rFonts w:ascii="仿宋" w:hAnsi="仿宋" w:eastAsia="仿宋" w:cstheme="minorBidi"/>
          <w:sz w:val="28"/>
          <w:szCs w:val="28"/>
        </w:rPr>
      </w:pPr>
    </w:p>
    <w:p>
      <w:pPr>
        <w:pStyle w:val="10"/>
        <w:rPr>
          <w:rFonts w:hint="eastAsia" w:eastAsia="仿宋" w:cstheme="minorBidi"/>
          <w:lang w:val="en-US" w:eastAsia="zh-CN"/>
        </w:rPr>
      </w:pPr>
      <w:r>
        <w:fldChar w:fldCharType="begin"/>
      </w:r>
      <w:r>
        <w:instrText xml:space="preserve"> HYPERLINK \l "_Toc15396618" </w:instrText>
      </w:r>
      <w:r>
        <w:fldChar w:fldCharType="separate"/>
      </w:r>
      <w:r>
        <w:rPr>
          <w:rStyle w:val="18"/>
          <w:rFonts w:hint="eastAsia"/>
        </w:rPr>
        <w:t>第</w:t>
      </w:r>
      <w:r>
        <w:rPr>
          <w:rStyle w:val="18"/>
          <w:rFonts w:hint="eastAsia"/>
          <w:bCs/>
          <w:kern w:val="44"/>
        </w:rPr>
        <w:t>五部分</w:t>
      </w:r>
      <w:r>
        <w:rPr>
          <w:rStyle w:val="18"/>
          <w:bCs/>
          <w:kern w:val="44"/>
        </w:rPr>
        <w:t xml:space="preserve"> </w:t>
      </w:r>
      <w:r>
        <w:rPr>
          <w:rStyle w:val="18"/>
          <w:rFonts w:hint="eastAsia"/>
          <w:bCs/>
          <w:kern w:val="44"/>
        </w:rPr>
        <w:t>附表</w:t>
      </w:r>
      <w:r>
        <w:tab/>
      </w:r>
      <w:r>
        <w:rPr>
          <w:rFonts w:hint="eastAsia"/>
          <w:lang w:val="en-US" w:eastAsia="zh-CN"/>
        </w:rPr>
        <w:t>2</w:t>
      </w:r>
      <w:r>
        <w:fldChar w:fldCharType="end"/>
      </w:r>
      <w:r>
        <w:rPr>
          <w:rFonts w:hint="eastAsia"/>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8"/>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8"/>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8"/>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8"/>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8"/>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8"/>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8"/>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8"/>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8"/>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8"/>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8"/>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4"/>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8"/>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7"/>
          <w:rFonts w:ascii="黑体" w:hAnsi="黑体" w:eastAsia="黑体"/>
          <w:b/>
          <w:bCs w:val="0"/>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8"/>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8"/>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r>
        <w:rPr>
          <w:rFonts w:hint="eastAsia"/>
          <w:color w:val="000000"/>
          <w:kern w:val="2"/>
          <w:sz w:val="32"/>
          <w:szCs w:val="32"/>
        </w:rPr>
        <w:t>开江县图书馆是国家三级图书馆，其主要职能是保存借阅图书资料，促进社会经济文化发展。</w:t>
      </w:r>
      <w:bookmarkEnd w:id="16"/>
      <w:bookmarkEnd w:id="17"/>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全年，图书馆按照每周5</w:t>
      </w:r>
      <w:r>
        <w:rPr>
          <w:rFonts w:ascii="仿宋" w:hAnsi="仿宋" w:eastAsia="仿宋"/>
          <w:sz w:val="32"/>
          <w:szCs w:val="32"/>
        </w:rPr>
        <w:t>6</w:t>
      </w:r>
      <w:r>
        <w:rPr>
          <w:rFonts w:hint="eastAsia" w:ascii="仿宋" w:hAnsi="仿宋" w:eastAsia="仿宋"/>
          <w:sz w:val="32"/>
          <w:szCs w:val="32"/>
        </w:rPr>
        <w:t>小时标准免费开放，严格执行“延时、错时”开放制度。图书外借册次达到</w:t>
      </w:r>
      <w:r>
        <w:rPr>
          <w:rFonts w:ascii="仿宋" w:hAnsi="仿宋" w:eastAsia="仿宋"/>
          <w:sz w:val="32"/>
          <w:szCs w:val="32"/>
        </w:rPr>
        <w:t>35075</w:t>
      </w:r>
      <w:r>
        <w:rPr>
          <w:rFonts w:hint="eastAsia" w:ascii="仿宋" w:hAnsi="仿宋" w:eastAsia="仿宋"/>
          <w:sz w:val="32"/>
          <w:szCs w:val="32"/>
        </w:rPr>
        <w:t>册，其中图书文献外借</w:t>
      </w:r>
      <w:r>
        <w:rPr>
          <w:rFonts w:ascii="仿宋" w:hAnsi="仿宋" w:eastAsia="仿宋"/>
          <w:sz w:val="32"/>
          <w:szCs w:val="32"/>
        </w:rPr>
        <w:t>18055</w:t>
      </w:r>
      <w:r>
        <w:rPr>
          <w:rFonts w:hint="eastAsia" w:ascii="仿宋" w:hAnsi="仿宋" w:eastAsia="仿宋"/>
          <w:sz w:val="32"/>
          <w:szCs w:val="32"/>
        </w:rPr>
        <w:t>人次；总流通人次</w:t>
      </w:r>
      <w:r>
        <w:rPr>
          <w:rFonts w:ascii="仿宋" w:hAnsi="仿宋" w:eastAsia="仿宋"/>
          <w:sz w:val="32"/>
          <w:szCs w:val="32"/>
        </w:rPr>
        <w:t>84252</w:t>
      </w:r>
      <w:r>
        <w:rPr>
          <w:rFonts w:hint="eastAsia" w:ascii="仿宋" w:hAnsi="仿宋" w:eastAsia="仿宋"/>
          <w:sz w:val="32"/>
          <w:szCs w:val="32"/>
        </w:rPr>
        <w:t>人次；新办借阅证读者</w:t>
      </w:r>
      <w:r>
        <w:rPr>
          <w:rFonts w:ascii="仿宋" w:hAnsi="仿宋" w:eastAsia="仿宋"/>
          <w:sz w:val="32"/>
          <w:szCs w:val="32"/>
        </w:rPr>
        <w:t>102</w:t>
      </w:r>
      <w:r>
        <w:rPr>
          <w:rFonts w:hint="eastAsia" w:ascii="仿宋" w:hAnsi="仿宋" w:eastAsia="仿宋"/>
          <w:sz w:val="32"/>
          <w:szCs w:val="32"/>
        </w:rPr>
        <w:t>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今年来，我馆开展“新春灯谜”、“走进图书馆”、“4</w:t>
      </w:r>
      <w:r>
        <w:rPr>
          <w:rFonts w:ascii="仿宋_GB2312" w:eastAsia="仿宋_GB2312"/>
          <w:sz w:val="32"/>
          <w:szCs w:val="32"/>
        </w:rPr>
        <w:t>.23</w:t>
      </w:r>
      <w:r>
        <w:rPr>
          <w:rFonts w:hint="eastAsia" w:ascii="仿宋_GB2312" w:eastAsia="仿宋_GB2312"/>
          <w:sz w:val="32"/>
          <w:szCs w:val="32"/>
        </w:rPr>
        <w:t>”阅读推广活动、暑期暑期征文活动、“好书推荐”、“朗读时光·书香校园”系列活动、“图书进乡村社区”“不忘初心·共谱华章”朗读活动、“走进书院·我爱阅读”系列活动、、书画作品创作专题讲座等各类读者活动累计2</w:t>
      </w:r>
      <w:r>
        <w:rPr>
          <w:rFonts w:ascii="仿宋_GB2312" w:eastAsia="仿宋_GB2312"/>
          <w:sz w:val="32"/>
          <w:szCs w:val="32"/>
        </w:rPr>
        <w:t>8</w:t>
      </w:r>
      <w:r>
        <w:rPr>
          <w:rFonts w:hint="eastAsia" w:ascii="仿宋_GB2312" w:eastAsia="仿宋_GB2312"/>
          <w:sz w:val="32"/>
          <w:szCs w:val="32"/>
        </w:rPr>
        <w:t>场次，惠及</w:t>
      </w:r>
      <w:r>
        <w:rPr>
          <w:rFonts w:ascii="仿宋_GB2312" w:eastAsia="仿宋_GB2312"/>
          <w:sz w:val="32"/>
          <w:szCs w:val="32"/>
        </w:rPr>
        <w:t>5</w:t>
      </w:r>
      <w:r>
        <w:rPr>
          <w:rFonts w:hint="eastAsia" w:ascii="仿宋_GB2312" w:eastAsia="仿宋_GB2312"/>
          <w:sz w:val="32"/>
          <w:szCs w:val="32"/>
        </w:rPr>
        <w:t>万余人次，与往年比持续增加。通过读者活动的开展，引导读者积极参与到阅读中来，培养良好的阅读习惯。</w:t>
      </w:r>
    </w:p>
    <w:p>
      <w:pPr>
        <w:pStyle w:val="3"/>
        <w:rPr>
          <w:rStyle w:val="28"/>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8"/>
          <w:rFonts w:hint="eastAsia" w:ascii="黑体" w:hAnsi="黑体" w:eastAsia="黑体"/>
          <w:b w:val="0"/>
          <w:bCs w:val="0"/>
        </w:rPr>
        <w:t>构设置</w:t>
      </w:r>
      <w:bookmarkEnd w:id="20"/>
      <w:bookmarkEnd w:id="21"/>
    </w:p>
    <w:p>
      <w:pPr>
        <w:pStyle w:val="5"/>
        <w:adjustRightInd w:val="0"/>
        <w:snapToGrid w:val="0"/>
        <w:spacing w:before="93" w:line="600" w:lineRule="exact"/>
        <w:ind w:firstLine="672" w:firstLineChars="210"/>
        <w:rPr>
          <w:rFonts w:ascii="仿宋" w:hAnsi="仿宋" w:eastAsia="仿宋"/>
          <w:color w:val="000000"/>
          <w:sz w:val="32"/>
          <w:szCs w:val="32"/>
        </w:rPr>
      </w:pPr>
      <w:r>
        <w:rPr>
          <w:color w:val="000000"/>
          <w:kern w:val="2"/>
          <w:sz w:val="32"/>
          <w:szCs w:val="32"/>
        </w:rPr>
        <w:t>根据开江府办发〔2011〕79号文件，开江县图书馆事业编制6名，设馆长1名，副馆长1名，为县文广新局所属事业单位。</w:t>
      </w:r>
      <w:r>
        <w:rPr>
          <w:rFonts w:ascii="仿宋" w:hAnsi="仿宋" w:eastAsia="仿宋"/>
          <w:color w:val="000000"/>
          <w:sz w:val="32"/>
          <w:szCs w:val="32"/>
        </w:rPr>
        <w:br w:type="page"/>
      </w:r>
    </w:p>
    <w:p>
      <w:pPr>
        <w:pStyle w:val="2"/>
        <w:ind w:right="440"/>
        <w:jc w:val="right"/>
        <w:rPr>
          <w:rStyle w:val="27"/>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7"/>
          <w:rFonts w:hint="eastAsia" w:ascii="黑体" w:hAnsi="黑体" w:eastAsia="黑体"/>
          <w:b w:val="0"/>
          <w:bCs w:val="0"/>
        </w:rPr>
        <w:t>2018年度部门决算情况说明</w:t>
      </w:r>
      <w:bookmarkEnd w:id="22"/>
      <w:bookmarkEnd w:id="23"/>
    </w:p>
    <w:p/>
    <w:p>
      <w:pPr>
        <w:pStyle w:val="26"/>
        <w:numPr>
          <w:ilvl w:val="0"/>
          <w:numId w:val="1"/>
        </w:numPr>
        <w:spacing w:line="600" w:lineRule="exact"/>
        <w:ind w:firstLineChars="0"/>
        <w:outlineLvl w:val="1"/>
        <w:rPr>
          <w:rStyle w:val="28"/>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2018年度收、支总计125.66万元。与2017年相比，收、支总计各增加0.44万元，增长0.35</w:t>
      </w:r>
      <w:r>
        <w:rPr>
          <w:rFonts w:ascii="仿宋" w:hAnsi="仿宋" w:eastAsia="仿宋"/>
          <w:color w:val="000000"/>
          <w:sz w:val="32"/>
          <w:szCs w:val="32"/>
        </w:rPr>
        <w:t>%</w:t>
      </w:r>
      <w:r>
        <w:rPr>
          <w:rFonts w:hint="eastAsia" w:ascii="仿宋" w:hAnsi="仿宋" w:eastAsia="仿宋"/>
          <w:color w:val="000000"/>
          <w:sz w:val="32"/>
          <w:szCs w:val="32"/>
        </w:rPr>
        <w:t>。主要变动原因是人员增资等。</w:t>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spacing w:line="600" w:lineRule="exact"/>
        <w:ind w:firstLine="640" w:firstLineChars="200"/>
        <w:rPr>
          <w:rFonts w:ascii="仿宋" w:hAnsi="仿宋" w:eastAsia="仿宋"/>
          <w:color w:val="000000" w:themeColor="text1"/>
          <w:sz w:val="32"/>
          <w:szCs w:val="32"/>
        </w:rPr>
      </w:pPr>
      <w:r>
        <w:rPr>
          <w:rFonts w:ascii="黑体" w:hAnsi="黑体" w:eastAsia="黑体"/>
          <w:color w:val="000000"/>
          <w:sz w:val="32"/>
          <w:szCs w:val="32"/>
        </w:rPr>
        <w:drawing>
          <wp:anchor distT="0" distB="0" distL="114300" distR="114300" simplePos="0" relativeHeight="251663360" behindDoc="0" locked="0" layoutInCell="1" allowOverlap="1">
            <wp:simplePos x="0" y="0"/>
            <wp:positionH relativeFrom="column">
              <wp:posOffset>271145</wp:posOffset>
            </wp:positionH>
            <wp:positionV relativeFrom="paragraph">
              <wp:posOffset>201930</wp:posOffset>
            </wp:positionV>
            <wp:extent cx="4893310" cy="2771140"/>
            <wp:effectExtent l="4445" t="4445" r="17145" b="571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6"/>
        <w:numPr>
          <w:ilvl w:val="0"/>
          <w:numId w:val="1"/>
        </w:numPr>
        <w:spacing w:line="600" w:lineRule="exact"/>
        <w:ind w:firstLineChars="0"/>
        <w:outlineLvl w:val="1"/>
        <w:rPr>
          <w:rStyle w:val="28"/>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8"/>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8年本年收入合计110.17万元，其中：一般公共预算财政拨款收入110.17万元，占100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；政府性基金预算财政拨款收入无；国有资本经营预算财政拨款收入无；事业收入无；经营收入无；附属单位上缴收入无；其他收入无。</w:t>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_GB2312" w:eastAsia="仿宋_GB2312"/>
          <w:color w:val="FF0000"/>
          <w:sz w:val="32"/>
          <w:szCs w:val="32"/>
        </w:rPr>
      </w:pPr>
    </w:p>
    <w:p>
      <w:pPr>
        <w:spacing w:line="600" w:lineRule="exact"/>
        <w:ind w:firstLine="640" w:firstLineChars="200"/>
        <w:rPr>
          <w:rFonts w:hint="eastAsia" w:ascii="仿宋_GB2312" w:eastAsia="仿宋_GB2312"/>
          <w:color w:val="FF0000"/>
          <w:sz w:val="32"/>
          <w:szCs w:val="32"/>
        </w:rPr>
      </w:pPr>
    </w:p>
    <w:p>
      <w:pPr>
        <w:spacing w:line="600" w:lineRule="exact"/>
        <w:ind w:firstLine="640" w:firstLineChars="200"/>
        <w:rPr>
          <w:rFonts w:hint="eastAsia" w:ascii="仿宋_GB2312" w:eastAsia="仿宋_GB2312"/>
          <w:color w:val="FF0000"/>
          <w:sz w:val="32"/>
          <w:szCs w:val="32"/>
        </w:rPr>
      </w:pPr>
    </w:p>
    <w:p>
      <w:pPr>
        <w:spacing w:line="600" w:lineRule="exact"/>
        <w:ind w:firstLine="640" w:firstLineChars="200"/>
        <w:rPr>
          <w:rFonts w:hint="eastAsia" w:ascii="仿宋_GB2312" w:eastAsia="仿宋_GB2312"/>
          <w:color w:val="FF0000"/>
          <w:sz w:val="32"/>
          <w:szCs w:val="32"/>
        </w:rPr>
      </w:pPr>
    </w:p>
    <w:p>
      <w:pPr>
        <w:spacing w:line="600" w:lineRule="exact"/>
        <w:ind w:firstLine="640" w:firstLineChars="200"/>
        <w:rPr>
          <w:rFonts w:hint="eastAsia" w:ascii="仿宋_GB2312" w:eastAsia="仿宋_GB2312"/>
          <w:color w:val="FF0000"/>
          <w:sz w:val="32"/>
          <w:szCs w:val="32"/>
        </w:rPr>
      </w:pPr>
    </w:p>
    <w:p>
      <w:pPr>
        <w:spacing w:line="600" w:lineRule="exact"/>
        <w:ind w:firstLine="640" w:firstLineChars="200"/>
        <w:rPr>
          <w:rFonts w:hint="eastAsia" w:ascii="仿宋_GB2312" w:eastAsia="仿宋_GB2312"/>
          <w:color w:val="FF0000"/>
          <w:sz w:val="32"/>
          <w:szCs w:val="32"/>
        </w:rPr>
      </w:pPr>
    </w:p>
    <w:p>
      <w:pPr>
        <w:spacing w:line="600" w:lineRule="exact"/>
        <w:ind w:firstLine="640" w:firstLineChars="200"/>
        <w:rPr>
          <w:rFonts w:hint="eastAsia" w:ascii="仿宋_GB2312" w:eastAsia="仿宋_GB2312"/>
          <w:color w:val="FF0000"/>
          <w:sz w:val="32"/>
          <w:szCs w:val="32"/>
        </w:rPr>
      </w:pPr>
      <w:r>
        <w:rPr>
          <w:rFonts w:hint="eastAsia" w:ascii="仿宋_GB2312" w:eastAsia="仿宋_GB2312"/>
          <w:color w:val="FF0000"/>
          <w:sz w:val="32"/>
          <w:szCs w:val="32"/>
        </w:rPr>
        <w:drawing>
          <wp:anchor distT="0" distB="0" distL="0" distR="0" simplePos="0" relativeHeight="251664384" behindDoc="0" locked="0" layoutInCell="1" allowOverlap="1">
            <wp:simplePos x="0" y="0"/>
            <wp:positionH relativeFrom="column">
              <wp:posOffset>410845</wp:posOffset>
            </wp:positionH>
            <wp:positionV relativeFrom="paragraph">
              <wp:posOffset>-2985770</wp:posOffset>
            </wp:positionV>
            <wp:extent cx="4429125" cy="2614295"/>
            <wp:effectExtent l="4445" t="4445" r="5080" b="10160"/>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6"/>
        <w:numPr>
          <w:ilvl w:val="0"/>
          <w:numId w:val="1"/>
        </w:numPr>
        <w:spacing w:line="600" w:lineRule="exact"/>
        <w:ind w:firstLineChars="0"/>
        <w:outlineLvl w:val="1"/>
        <w:rPr>
          <w:rStyle w:val="28"/>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8"/>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8年本年支出合计110.75万元，其中：基本支出87.57万元，占79.07</w:t>
      </w:r>
      <w:r>
        <w:rPr>
          <w:rFonts w:ascii="仿宋" w:hAnsi="仿宋" w:eastAsia="仿宋"/>
          <w:color w:val="000000"/>
          <w:sz w:val="32"/>
          <w:szCs w:val="32"/>
        </w:rPr>
        <w:t>%</w:t>
      </w:r>
      <w:r>
        <w:rPr>
          <w:rFonts w:hint="eastAsia" w:ascii="仿宋" w:hAnsi="仿宋" w:eastAsia="仿宋"/>
          <w:color w:val="000000"/>
          <w:sz w:val="32"/>
          <w:szCs w:val="32"/>
        </w:rPr>
        <w:t>；项目支出23.18万元，占20.93</w:t>
      </w:r>
      <w:r>
        <w:rPr>
          <w:rFonts w:ascii="仿宋" w:hAnsi="仿宋" w:eastAsia="仿宋"/>
          <w:color w:val="000000"/>
          <w:sz w:val="32"/>
          <w:szCs w:val="32"/>
        </w:rPr>
        <w:t>%</w:t>
      </w:r>
      <w:r>
        <w:rPr>
          <w:rFonts w:hint="eastAsia" w:ascii="仿宋" w:hAnsi="仿宋" w:eastAsia="仿宋"/>
          <w:color w:val="000000"/>
          <w:sz w:val="32"/>
          <w:szCs w:val="32"/>
        </w:rPr>
        <w:t>；上缴上级支出无；经营支出无；对附属单位补助支出无。</w:t>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ascii="仿宋_GB2312" w:eastAsia="仿宋_GB2312"/>
          <w:color w:val="FF0000"/>
          <w:sz w:val="32"/>
          <w:szCs w:val="32"/>
        </w:rPr>
      </w:pPr>
      <w:r>
        <w:rPr>
          <w:rFonts w:ascii="仿宋_GB2312" w:eastAsia="仿宋_GB2312"/>
          <w:color w:val="FF0000"/>
          <w:sz w:val="32"/>
          <w:szCs w:val="32"/>
        </w:rPr>
        <w:drawing>
          <wp:anchor distT="0" distB="0" distL="0" distR="0" simplePos="0" relativeHeight="251665408" behindDoc="0" locked="0" layoutInCell="1" allowOverlap="1">
            <wp:simplePos x="0" y="0"/>
            <wp:positionH relativeFrom="column">
              <wp:posOffset>410845</wp:posOffset>
            </wp:positionH>
            <wp:positionV relativeFrom="paragraph">
              <wp:posOffset>-2357755</wp:posOffset>
            </wp:positionV>
            <wp:extent cx="4400550" cy="2644775"/>
            <wp:effectExtent l="4445" t="4445" r="14605" b="17780"/>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Style w:val="28"/>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8年财政拨款收、支总计125.66万元。与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7年相比，财政拨款收、支总计各增加0.44万元，增长0.35</w:t>
      </w:r>
      <w:r>
        <w:rPr>
          <w:rFonts w:ascii="仿宋" w:hAnsi="仿宋" w:eastAsia="仿宋"/>
          <w:color w:val="000000"/>
          <w:sz w:val="32"/>
          <w:szCs w:val="32"/>
        </w:rPr>
        <w:t>%</w:t>
      </w:r>
      <w:r>
        <w:rPr>
          <w:rFonts w:hint="eastAsia" w:ascii="仿宋" w:hAnsi="仿宋" w:eastAsia="仿宋"/>
          <w:color w:val="000000"/>
          <w:sz w:val="32"/>
          <w:szCs w:val="32"/>
        </w:rPr>
        <w:t>。主要变动原因是人员增资等。</w:t>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3" w:firstLineChars="200"/>
        <w:rPr>
          <w:rFonts w:hint="eastAsia" w:ascii="仿宋" w:hAnsi="仿宋" w:eastAsia="仿宋"/>
          <w:color w:val="000000" w:themeColor="text1"/>
          <w:sz w:val="32"/>
          <w:szCs w:val="32"/>
        </w:rPr>
      </w:pPr>
      <w:r>
        <w:rPr>
          <w:rFonts w:ascii="仿宋" w:hAnsi="仿宋" w:eastAsia="仿宋"/>
          <w:b/>
          <w:color w:val="000000" w:themeColor="text1"/>
          <w:sz w:val="32"/>
          <w:szCs w:val="32"/>
        </w:rPr>
        <w:drawing>
          <wp:anchor distT="0" distB="0" distL="114300" distR="114300" simplePos="0" relativeHeight="251659264" behindDoc="0" locked="0" layoutInCell="1" allowOverlap="1">
            <wp:simplePos x="0" y="0"/>
            <wp:positionH relativeFrom="column">
              <wp:posOffset>271145</wp:posOffset>
            </wp:positionH>
            <wp:positionV relativeFrom="paragraph">
              <wp:posOffset>132080</wp:posOffset>
            </wp:positionV>
            <wp:extent cx="4616450" cy="2475230"/>
            <wp:effectExtent l="4445" t="4445" r="8255" b="1587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8"/>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8年一般公共预算财政拨款支出110.75万元，占本年支出合计的100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7年相比，一般公共预算财政拨款增加1.01万元，增长0.92</w:t>
      </w:r>
      <w:r>
        <w:rPr>
          <w:rFonts w:ascii="仿宋" w:hAnsi="仿宋" w:eastAsia="仿宋"/>
          <w:color w:val="000000"/>
          <w:sz w:val="32"/>
          <w:szCs w:val="32"/>
        </w:rPr>
        <w:t>%</w:t>
      </w:r>
      <w:r>
        <w:rPr>
          <w:rFonts w:hint="eastAsia" w:ascii="仿宋" w:hAnsi="仿宋" w:eastAsia="仿宋"/>
          <w:color w:val="000000"/>
          <w:sz w:val="32"/>
          <w:szCs w:val="32"/>
        </w:rPr>
        <w:t>。主要变动原因是人员增资等</w:t>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60288" behindDoc="0" locked="0" layoutInCell="1" allowOverlap="1">
            <wp:simplePos x="0" y="0"/>
            <wp:positionH relativeFrom="margin">
              <wp:posOffset>242570</wp:posOffset>
            </wp:positionH>
            <wp:positionV relativeFrom="paragraph">
              <wp:posOffset>800100</wp:posOffset>
            </wp:positionV>
            <wp:extent cx="5000625" cy="2567940"/>
            <wp:effectExtent l="4445" t="4445" r="5080" b="1841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000000" w:themeColor="text1"/>
          <w:sz w:val="32"/>
          <w:szCs w:val="32"/>
        </w:rPr>
        <w:t>（图5：一般公共预算财政拨款支出决算变动情况）（柱状图）</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政拨款支出110.75万元，主要用于以下方面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文化体育与传媒（类）</w:t>
      </w:r>
      <w:r>
        <w:rPr>
          <w:rFonts w:hint="eastAsia" w:ascii="仿宋" w:hAnsi="仿宋" w:eastAsia="仿宋"/>
          <w:color w:val="000000" w:themeColor="text1"/>
          <w:sz w:val="32"/>
          <w:szCs w:val="32"/>
        </w:rPr>
        <w:t>支出90.55万元，占81.76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支出10.49万元，占9.47</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医疗卫生支出（类）</w:t>
      </w:r>
      <w:r>
        <w:rPr>
          <w:rFonts w:hint="eastAsia" w:ascii="仿宋" w:hAnsi="仿宋" w:eastAsia="仿宋"/>
          <w:color w:val="000000" w:themeColor="text1"/>
          <w:sz w:val="32"/>
          <w:szCs w:val="32"/>
        </w:rPr>
        <w:t>3.41万元，占3.08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住房保障支出（类）</w:t>
      </w:r>
      <w:r>
        <w:rPr>
          <w:rFonts w:hint="eastAsia" w:ascii="仿宋" w:hAnsi="仿宋" w:eastAsia="仿宋"/>
          <w:color w:val="000000" w:themeColor="text1"/>
          <w:sz w:val="32"/>
          <w:szCs w:val="32"/>
        </w:rPr>
        <w:t>6.3万元，占5.69</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1312" behindDoc="0" locked="0" layoutInCell="1" allowOverlap="1">
            <wp:simplePos x="0" y="0"/>
            <wp:positionH relativeFrom="column">
              <wp:posOffset>-14605</wp:posOffset>
            </wp:positionH>
            <wp:positionV relativeFrom="paragraph">
              <wp:posOffset>185420</wp:posOffset>
            </wp:positionV>
            <wp:extent cx="5271770" cy="3080385"/>
            <wp:effectExtent l="4445" t="4445" r="19685" b="2032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rPr>
        <w:t>2018年</w:t>
      </w:r>
      <w:r>
        <w:rPr>
          <w:rFonts w:hint="eastAsia" w:ascii="仿宋" w:hAnsi="仿宋" w:eastAsia="仿宋"/>
          <w:b/>
          <w:color w:val="auto"/>
          <w:sz w:val="32"/>
          <w:szCs w:val="32"/>
          <w:highlight w:val="none"/>
          <w:lang w:val="en-US" w:eastAsia="zh-CN"/>
        </w:rPr>
        <w:t>一</w:t>
      </w:r>
      <w:r>
        <w:rPr>
          <w:rFonts w:hint="eastAsia" w:ascii="仿宋" w:hAnsi="仿宋" w:eastAsia="仿宋"/>
          <w:b/>
          <w:color w:val="000000" w:themeColor="text1"/>
          <w:sz w:val="32"/>
          <w:szCs w:val="32"/>
        </w:rPr>
        <w:t>般公共预算支出决算数为</w:t>
      </w:r>
      <w:r>
        <w:rPr>
          <w:rFonts w:hint="eastAsia" w:ascii="仿宋" w:hAnsi="仿宋" w:eastAsia="仿宋"/>
          <w:b/>
          <w:color w:val="000000" w:themeColor="text1"/>
          <w:sz w:val="32"/>
          <w:szCs w:val="32"/>
          <w:lang w:val="en-US" w:eastAsia="zh-CN"/>
        </w:rPr>
        <w:t>110.75万元</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88.13</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rPr>
        <w:t>1</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文化体育与传媒（类）文化（款）图书馆（项）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支出决算为90.55万元，完成预算85.86</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，决算数小于预算数的主要原因是部分项目启动的时间较晚，未来得及报账。</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rPr>
        <w:t>2</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社会保障和就业（类）</w:t>
      </w:r>
      <w:r>
        <w:rPr>
          <w:rStyle w:val="15"/>
          <w:rFonts w:ascii="仿宋" w:hAnsi="仿宋" w:eastAsia="仿宋"/>
          <w:bCs/>
          <w:color w:val="000000"/>
          <w:sz w:val="32"/>
          <w:szCs w:val="32"/>
        </w:rPr>
        <w:t>行政事业单位离退休（款）机关事业单位基本养老保险缴费支出</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支出决算为10.49万元，完成预算100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rPr>
        <w:t>3</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医疗卫生与计划生育（类）</w:t>
      </w:r>
      <w:r>
        <w:rPr>
          <w:rStyle w:val="15"/>
          <w:rFonts w:ascii="仿宋" w:hAnsi="仿宋" w:eastAsia="仿宋"/>
          <w:bCs/>
          <w:color w:val="000000"/>
          <w:sz w:val="32"/>
          <w:szCs w:val="32"/>
        </w:rPr>
        <w:t>行政事业单位医疗（款）事业单位医疗</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支出决算为3.41万元，完成预算100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422" w:firstLineChars="200"/>
        <w:rPr>
          <w:rFonts w:ascii="仿宋" w:hAnsi="仿宋" w:eastAsia="仿宋"/>
          <w:color w:val="000000"/>
          <w:sz w:val="32"/>
          <w:szCs w:val="32"/>
        </w:rPr>
      </w:pPr>
      <w:r>
        <w:rPr>
          <w:rStyle w:val="15"/>
          <w:rFonts w:hint="eastAsia"/>
          <w:bCs/>
        </w:rPr>
        <w:t>4.</w:t>
      </w:r>
      <w:r>
        <w:rPr>
          <w:rStyle w:val="15"/>
          <w:rFonts w:ascii="仿宋" w:hAnsi="仿宋" w:eastAsia="仿宋"/>
          <w:bCs/>
          <w:color w:val="000000"/>
          <w:sz w:val="32"/>
          <w:szCs w:val="32"/>
        </w:rPr>
        <w:t xml:space="preserve"> 住房保障（类）住房改革支出（款）住房公积金（项）：</w:t>
      </w:r>
      <w:r>
        <w:rPr>
          <w:rStyle w:val="15"/>
          <w:rFonts w:ascii="仿宋" w:hAnsi="仿宋" w:eastAsia="仿宋"/>
          <w:b w:val="0"/>
          <w:bCs/>
          <w:color w:val="000000"/>
          <w:sz w:val="32"/>
          <w:szCs w:val="32"/>
        </w:rPr>
        <w:t>支出决算为6.</w:t>
      </w:r>
      <w:r>
        <w:rPr>
          <w:rStyle w:val="15"/>
          <w:rFonts w:hint="eastAsia" w:ascii="仿宋" w:hAnsi="仿宋" w:eastAsia="仿宋"/>
          <w:b w:val="0"/>
          <w:bCs/>
          <w:color w:val="000000"/>
          <w:sz w:val="32"/>
          <w:szCs w:val="32"/>
        </w:rPr>
        <w:t>3</w:t>
      </w:r>
      <w:r>
        <w:rPr>
          <w:rStyle w:val="15"/>
          <w:rFonts w:ascii="仿宋" w:hAnsi="仿宋" w:eastAsia="仿宋"/>
          <w:b w:val="0"/>
          <w:bCs/>
          <w:color w:val="000000"/>
          <w:sz w:val="32"/>
          <w:szCs w:val="32"/>
        </w:rPr>
        <w:t>万元，完成预算100%。</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8"/>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40"/>
      <w:bookmarkEnd w:id="41"/>
      <w:r>
        <w:rPr>
          <w:rStyle w:val="28"/>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8年一般公共预算财政拨款基本支出87.57万元，其中：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人员经费82.77万元，主要包括：基本工资、津贴补贴、奖金、伙食补助费、绩效工资、机关事业单位基本养老保险缴费、职</w:t>
      </w:r>
      <w:r>
        <w:rPr>
          <w:rFonts w:hint="eastAsia" w:ascii="仿宋" w:hAnsi="仿宋" w:eastAsia="仿宋"/>
          <w:color w:val="000000"/>
          <w:sz w:val="32"/>
          <w:szCs w:val="32"/>
          <w:lang w:val="en-US" w:eastAsia="zh-CN"/>
        </w:rPr>
        <w:t>工基本医疗保险缴费</w:t>
      </w:r>
      <w:r>
        <w:rPr>
          <w:rFonts w:hint="eastAsia" w:ascii="仿宋" w:hAnsi="仿宋" w:eastAsia="仿宋"/>
          <w:color w:val="000000"/>
          <w:sz w:val="32"/>
          <w:szCs w:val="32"/>
        </w:rPr>
        <w:t>、其他社会保障缴费、其他工资福利支出、离休费、退休费、抚恤金、生活补助、医疗费、奖励金、住房公积金、提租补贴、购房补贴、其他对个人和家庭的补助支出等。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公用经费4.8万元，主要包括：办公费、印刷费、咨询费、手续费、水费、电费、邮电费、取暖费、物业管理费、差旅费、因公出国（境）费用、维修（护）费、租赁费、会议费、培训费、公务接待费、</w:t>
      </w:r>
      <w:r>
        <w:rPr>
          <w:rFonts w:hint="eastAsia" w:ascii="仿宋" w:hAnsi="仿宋" w:eastAsia="仿宋"/>
          <w:color w:val="000000"/>
          <w:sz w:val="32"/>
          <w:szCs w:val="32"/>
          <w:lang w:val="en-US" w:eastAsia="zh-CN"/>
        </w:rPr>
        <w:t>专用材料费、</w:t>
      </w:r>
      <w:r>
        <w:rPr>
          <w:rFonts w:hint="eastAsia" w:ascii="仿宋" w:hAnsi="仿宋" w:eastAsia="仿宋"/>
          <w:color w:val="000000"/>
          <w:sz w:val="32"/>
          <w:szCs w:val="32"/>
        </w:rPr>
        <w:t>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8"/>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8年“三公”经费财政拨款支出决算为0.1万元，完成预算</w:t>
      </w:r>
      <w:r>
        <w:rPr>
          <w:rFonts w:hint="eastAsia" w:ascii="仿宋" w:hAnsi="仿宋" w:eastAsia="仿宋"/>
          <w:color w:val="000000"/>
          <w:sz w:val="32"/>
          <w:szCs w:val="32"/>
          <w:highlight w:val="none"/>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，决算数与预算数持平的主要原因是严格</w:t>
      </w:r>
      <w:r>
        <w:rPr>
          <w:rFonts w:hint="eastAsia" w:ascii="仿宋_GB2312" w:eastAsia="仿宋_GB2312"/>
          <w:color w:val="000000"/>
          <w:sz w:val="32"/>
          <w:szCs w:val="32"/>
        </w:rPr>
        <w:t>贯彻执行中央八项规定</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；公务接待费支出决算0.1万元，占100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2336" behindDoc="0" locked="0" layoutInCell="1" allowOverlap="1">
            <wp:simplePos x="0" y="0"/>
            <wp:positionH relativeFrom="column">
              <wp:posOffset>433070</wp:posOffset>
            </wp:positionH>
            <wp:positionV relativeFrom="paragraph">
              <wp:posOffset>469265</wp:posOffset>
            </wp:positionV>
            <wp:extent cx="3939540" cy="1933575"/>
            <wp:effectExtent l="4445" t="5080" r="18415" b="4445"/>
            <wp:wrapSquare wrapText="bothSides"/>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000000"/>
          <w:sz w:val="32"/>
          <w:szCs w:val="32"/>
        </w:rPr>
        <w:t>（图</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：“三公”经费财政拨款支出结构）（饼状图）</w:t>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3" w:firstLineChars="20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w:t>
      </w:r>
    </w:p>
    <w:p>
      <w:pPr>
        <w:spacing w:line="600" w:lineRule="exact"/>
        <w:ind w:firstLine="640"/>
        <w:rPr>
          <w:rFonts w:hint="eastAsia" w:ascii="仿宋_GB2312" w:eastAsia="仿宋_GB2312"/>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0.1万元，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公务接待费支出决算与</w:t>
      </w:r>
      <w:r>
        <w:rPr>
          <w:rFonts w:ascii="仿宋_GB2312" w:eastAsia="仿宋_GB2312"/>
          <w:color w:val="000000"/>
          <w:sz w:val="32"/>
          <w:szCs w:val="32"/>
        </w:rPr>
        <w:t>201</w:t>
      </w:r>
      <w:r>
        <w:rPr>
          <w:rFonts w:hint="eastAsia" w:ascii="仿宋_GB2312" w:eastAsia="仿宋_GB2312"/>
          <w:color w:val="000000"/>
          <w:sz w:val="32"/>
          <w:szCs w:val="32"/>
        </w:rPr>
        <w:t>7年持平。主要原因是</w:t>
      </w:r>
      <w:r>
        <w:rPr>
          <w:rFonts w:hint="eastAsia" w:ascii="仿宋" w:hAnsi="仿宋" w:eastAsia="仿宋"/>
          <w:color w:val="000000"/>
          <w:sz w:val="32"/>
          <w:szCs w:val="32"/>
        </w:rPr>
        <w:t>严格</w:t>
      </w:r>
      <w:r>
        <w:rPr>
          <w:rFonts w:hint="eastAsia" w:ascii="仿宋_GB2312" w:eastAsia="仿宋_GB2312"/>
          <w:color w:val="000000"/>
          <w:sz w:val="32"/>
          <w:szCs w:val="32"/>
        </w:rPr>
        <w:t>贯彻执行中央八项规定。</w:t>
      </w:r>
    </w:p>
    <w:p>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国内公务接待支出0.1万元，</w:t>
      </w:r>
      <w:r>
        <w:rPr>
          <w:rFonts w:hint="eastAsia" w:ascii="仿宋_GB2312" w:eastAsia="仿宋_GB2312"/>
          <w:color w:val="000000"/>
          <w:sz w:val="32"/>
          <w:szCs w:val="32"/>
        </w:rPr>
        <w:t>主要用于执行公务、开展业务活动开支的用餐费。国内公务接待2批次，24人次（不包括陪同人员），共计支出0.1万元，具体内容包括：接待市馆大调研、大讨论</w:t>
      </w:r>
      <w:r>
        <w:rPr>
          <w:rFonts w:hint="eastAsia" w:ascii="仿宋_GB2312" w:eastAsia="仿宋_GB2312"/>
          <w:color w:val="000000"/>
          <w:sz w:val="32"/>
          <w:szCs w:val="32"/>
          <w:lang w:val="en-US" w:eastAsia="zh-CN"/>
        </w:rPr>
        <w:t>700元，接待达川区图书馆来馆交流300元。</w:t>
      </w:r>
    </w:p>
    <w:p>
      <w:pPr>
        <w:spacing w:line="600" w:lineRule="exact"/>
        <w:ind w:firstLine="640" w:firstLineChars="200"/>
        <w:rPr>
          <w:rFonts w:hint="eastAsia" w:ascii="仿宋_GB2312" w:eastAsia="仿宋_GB2312"/>
          <w:color w:val="000000"/>
          <w:sz w:val="32"/>
          <w:szCs w:val="32"/>
          <w:lang w:val="en-US" w:eastAsia="zh-CN"/>
        </w:rPr>
      </w:pPr>
      <w:r>
        <w:rPr>
          <w:rFonts w:hint="eastAsia" w:ascii="仿宋" w:hAnsi="仿宋" w:eastAsia="仿宋"/>
          <w:b w:val="0"/>
          <w:bCs/>
          <w:color w:val="000000"/>
          <w:sz w:val="32"/>
          <w:szCs w:val="32"/>
        </w:rPr>
        <w:t>外事接待支出</w:t>
      </w:r>
      <w:r>
        <w:rPr>
          <w:rFonts w:hint="eastAsia" w:ascii="仿宋" w:hAnsi="仿宋" w:eastAsia="仿宋"/>
          <w:b w:val="0"/>
          <w:bCs/>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批次，</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人，共计支出</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万元。</w:t>
      </w:r>
    </w:p>
    <w:p>
      <w:pPr>
        <w:spacing w:line="600" w:lineRule="exact"/>
        <w:ind w:firstLine="640"/>
        <w:outlineLvl w:val="1"/>
        <w:rPr>
          <w:rStyle w:val="28"/>
          <w:rFonts w:ascii="黑体" w:hAnsi="黑体" w:eastAsia="黑体"/>
        </w:rPr>
      </w:pPr>
      <w:bookmarkStart w:id="46" w:name="_Toc15377218"/>
      <w:bookmarkStart w:id="47" w:name="_Toc15396610"/>
      <w:r>
        <w:rPr>
          <w:rFonts w:hint="eastAsia" w:ascii="黑体" w:eastAsia="黑体"/>
          <w:color w:val="000000"/>
          <w:sz w:val="32"/>
          <w:szCs w:val="32"/>
        </w:rPr>
        <w:t>八、</w:t>
      </w:r>
      <w:r>
        <w:rPr>
          <w:rStyle w:val="28"/>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8年政府性基金预算拨款支出0万元。</w:t>
      </w:r>
    </w:p>
    <w:p>
      <w:pPr>
        <w:numPr>
          <w:ilvl w:val="0"/>
          <w:numId w:val="2"/>
        </w:numPr>
        <w:spacing w:line="600" w:lineRule="exact"/>
        <w:ind w:firstLine="640"/>
        <w:outlineLvl w:val="1"/>
        <w:rPr>
          <w:rStyle w:val="28"/>
          <w:rFonts w:ascii="黑体" w:hAnsi="黑体" w:eastAsia="黑体"/>
          <w:b w:val="0"/>
        </w:rPr>
      </w:pPr>
      <w:bookmarkStart w:id="48" w:name="_Toc15396611"/>
      <w:bookmarkStart w:id="49" w:name="_Toc15377219"/>
      <w:r>
        <w:rPr>
          <w:rStyle w:val="28"/>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pStyle w:val="26"/>
        <w:numPr>
          <w:ilvl w:val="0"/>
          <w:numId w:val="3"/>
        </w:numPr>
        <w:spacing w:line="580" w:lineRule="exact"/>
        <w:ind w:firstLineChars="0"/>
        <w:rPr>
          <w:rStyle w:val="28"/>
          <w:rFonts w:ascii="黑体" w:hAnsi="黑体" w:eastAsia="黑体"/>
          <w:b w:val="0"/>
        </w:rPr>
      </w:pPr>
      <w:r>
        <w:rPr>
          <w:rStyle w:val="28"/>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hint="eastAsia" w:ascii="仿宋_GB2312" w:hAnsi="仿宋_GB2312" w:eastAsia="仿宋_GB2312" w:cs="仿宋_GB2312"/>
          <w:sz w:val="32"/>
          <w:szCs w:val="32"/>
          <w:lang w:eastAsia="zh-CN"/>
        </w:rPr>
        <w:t>图书馆免费开放</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eastAsia="zh-CN"/>
        </w:rPr>
        <w:t>免费开放</w:t>
      </w:r>
      <w:r>
        <w:rPr>
          <w:rFonts w:hint="eastAsia" w:ascii="仿宋_GB2312" w:hAnsi="仿宋_GB2312" w:eastAsia="仿宋_GB2312" w:cs="仿宋_GB2312"/>
          <w:sz w:val="32"/>
          <w:szCs w:val="32"/>
        </w:rPr>
        <w:t>项目编制了绩效目标，预算执行过程中，选取</w:t>
      </w:r>
      <w:r>
        <w:rPr>
          <w:rFonts w:hint="eastAsia" w:ascii="仿宋_GB2312" w:hAnsi="仿宋_GB2312" w:eastAsia="仿宋_GB2312" w:cs="仿宋_GB2312"/>
          <w:sz w:val="32"/>
          <w:szCs w:val="32"/>
          <w:lang w:eastAsia="zh-CN"/>
        </w:rPr>
        <w:t>免费开放</w:t>
      </w:r>
      <w:r>
        <w:rPr>
          <w:rFonts w:hint="eastAsia" w:ascii="仿宋_GB2312" w:hAnsi="仿宋_GB2312" w:eastAsia="仿宋_GB2312" w:cs="仿宋_GB2312"/>
          <w:sz w:val="32"/>
          <w:szCs w:val="32"/>
        </w:rPr>
        <w:t>项目开展绩效监控，年终执行完毕后，对</w:t>
      </w:r>
      <w:r>
        <w:rPr>
          <w:rFonts w:hint="eastAsia" w:ascii="仿宋_GB2312" w:hAnsi="仿宋_GB2312" w:eastAsia="仿宋_GB2312" w:cs="仿宋_GB2312"/>
          <w:sz w:val="32"/>
          <w:szCs w:val="32"/>
          <w:lang w:eastAsia="zh-CN"/>
        </w:rPr>
        <w:t>免费开放</w:t>
      </w:r>
      <w:r>
        <w:rPr>
          <w:rFonts w:hint="eastAsia" w:ascii="仿宋_GB2312" w:hAnsi="仿宋_GB2312" w:eastAsia="仿宋_GB2312" w:cs="仿宋_GB2312"/>
          <w:sz w:val="32"/>
          <w:szCs w:val="32"/>
        </w:rPr>
        <w:t>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本部门按要求对2018年部门整体支出开展绩效自评，从评价情况来看我部门预算编制、执行、管理严格按照程序进行支出符合部门预算批复的用途，无截留、挤占、挪用、虚列支出等情况。</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本部门在2018年度部门决算中反映“免费开放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项目绩效目标实际完成情况。</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免费开放</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38.09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lang w:val="en-US" w:eastAsia="zh-CN"/>
        </w:rPr>
        <w:t>2018年项目收入22.6万元，上年结转和结余15.49万元），</w:t>
      </w:r>
      <w:r>
        <w:rPr>
          <w:rFonts w:hint="eastAsia" w:ascii="仿宋_GB2312" w:hAnsi="仿宋_GB2312" w:eastAsia="仿宋_GB2312" w:cs="仿宋_GB2312"/>
          <w:sz w:val="32"/>
          <w:szCs w:val="32"/>
        </w:rPr>
        <w:t>执行数为</w:t>
      </w:r>
      <w:r>
        <w:rPr>
          <w:rFonts w:hint="eastAsia" w:ascii="仿宋_GB2312" w:hAnsi="仿宋_GB2312" w:eastAsia="仿宋_GB2312" w:cs="仿宋_GB2312"/>
          <w:sz w:val="32"/>
          <w:szCs w:val="32"/>
          <w:lang w:val="en-US" w:eastAsia="zh-CN"/>
        </w:rPr>
        <w:t>23.18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60.86</w:t>
      </w:r>
      <w:r>
        <w:rPr>
          <w:rFonts w:hint="eastAsia" w:ascii="仿宋_GB2312" w:hAnsi="仿宋_GB2312" w:eastAsia="仿宋_GB2312" w:cs="仿宋_GB2312"/>
          <w:sz w:val="32"/>
          <w:szCs w:val="32"/>
        </w:rPr>
        <w:t>%。通过项目实施，保障了</w:t>
      </w:r>
      <w:r>
        <w:rPr>
          <w:rFonts w:hint="eastAsia" w:ascii="仿宋_GB2312" w:hAnsi="仿宋_GB2312" w:eastAsia="仿宋_GB2312" w:cs="仿宋_GB2312"/>
          <w:sz w:val="32"/>
          <w:szCs w:val="32"/>
          <w:lang w:eastAsia="zh-CN"/>
        </w:rPr>
        <w:t>图书馆全年</w:t>
      </w:r>
      <w:r>
        <w:rPr>
          <w:rFonts w:hint="eastAsia" w:ascii="仿宋_GB2312" w:hAnsi="仿宋_GB2312" w:eastAsia="仿宋_GB2312" w:cs="仿宋_GB2312"/>
          <w:sz w:val="32"/>
          <w:szCs w:val="32"/>
          <w:lang w:val="en-US" w:eastAsia="zh-CN"/>
        </w:rPr>
        <w:t>365天免费对广大群众按时开放，提升全县文化质量，促进社会和谐。</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因部分业务已经开展，但商家未及时开票，导致执行率编低</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更加合理编制项目预算，积极完善报账相关手续，提高执行率。</w:t>
      </w:r>
    </w:p>
    <w:p>
      <w:pPr>
        <w:numPr>
          <w:ilvl w:val="0"/>
          <w:numId w:val="0"/>
        </w:numPr>
        <w:spacing w:line="580" w:lineRule="exact"/>
        <w:ind w:firstLine="640" w:firstLineChars="200"/>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6"/>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免费开放</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开江县图书馆</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38.09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23.18</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38.09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23.18</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本年度安排购买图书不少于</w:t>
            </w:r>
            <w:r>
              <w:rPr>
                <w:rFonts w:hint="eastAsia" w:ascii="宋体" w:hAnsi="宋体" w:cs="宋体"/>
                <w:color w:val="000000"/>
                <w:sz w:val="24"/>
                <w:lang w:val="en-US" w:eastAsia="zh-CN"/>
              </w:rPr>
              <w:t>3000</w:t>
            </w:r>
            <w:r>
              <w:rPr>
                <w:rFonts w:hint="eastAsia" w:ascii="宋体" w:hAnsi="宋体" w:cs="宋体"/>
                <w:color w:val="000000"/>
                <w:sz w:val="24"/>
              </w:rPr>
              <w:t>册及免费开放接待读</w:t>
            </w:r>
            <w:r>
              <w:rPr>
                <w:rFonts w:hint="eastAsia" w:ascii="宋体" w:hAnsi="宋体" w:cs="宋体"/>
                <w:color w:val="000000"/>
                <w:sz w:val="24"/>
                <w:lang w:eastAsia="zh-CN"/>
              </w:rPr>
              <w:t>者</w:t>
            </w:r>
            <w:r>
              <w:rPr>
                <w:rFonts w:hint="eastAsia" w:ascii="宋体" w:hAnsi="宋体" w:cs="宋体"/>
                <w:color w:val="000000"/>
                <w:sz w:val="24"/>
              </w:rPr>
              <w:t>不少于</w:t>
            </w:r>
            <w:r>
              <w:rPr>
                <w:rFonts w:hint="eastAsia" w:ascii="宋体" w:hAnsi="宋体" w:cs="宋体"/>
                <w:color w:val="000000"/>
                <w:sz w:val="24"/>
                <w:lang w:val="en-US" w:eastAsia="zh-CN"/>
              </w:rPr>
              <w:t>3</w:t>
            </w:r>
            <w:r>
              <w:rPr>
                <w:rFonts w:hint="eastAsia" w:ascii="宋体" w:hAnsi="宋体" w:cs="宋体"/>
                <w:color w:val="000000"/>
                <w:sz w:val="24"/>
              </w:rPr>
              <w:t>万人次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本年度新增图书</w:t>
            </w:r>
            <w:r>
              <w:rPr>
                <w:rFonts w:hint="eastAsia" w:ascii="宋体" w:hAnsi="宋体" w:cs="宋体"/>
                <w:color w:val="000000"/>
                <w:sz w:val="24"/>
                <w:lang w:val="en-US" w:eastAsia="zh-CN"/>
              </w:rPr>
              <w:t>4000来册、免费开放接待读者4万余人次</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为广大市民免费开放，预计接待人次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全年365天免费开放，并接待读者不少于3万人次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全年365天免费开放，并接待读者</w:t>
            </w:r>
            <w:r>
              <w:rPr>
                <w:rFonts w:hint="eastAsia" w:ascii="宋体" w:hAnsi="宋体" w:cs="宋体"/>
                <w:color w:val="000000"/>
                <w:sz w:val="24"/>
                <w:lang w:val="en-US" w:eastAsia="zh-CN"/>
              </w:rPr>
              <w:t>4</w:t>
            </w:r>
            <w:r>
              <w:rPr>
                <w:rFonts w:hint="eastAsia" w:ascii="宋体" w:hAnsi="宋体" w:cs="宋体"/>
                <w:color w:val="000000"/>
                <w:sz w:val="24"/>
              </w:rPr>
              <w:t>万人次</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逐步增加图书数量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本年度安排购买图书不少于</w:t>
            </w:r>
            <w:r>
              <w:rPr>
                <w:rFonts w:hint="eastAsia" w:ascii="宋体" w:hAnsi="宋体" w:cs="宋体"/>
                <w:color w:val="000000"/>
                <w:sz w:val="24"/>
                <w:lang w:val="en-US" w:eastAsia="zh-CN"/>
              </w:rPr>
              <w:t>3000</w:t>
            </w:r>
            <w:r>
              <w:rPr>
                <w:rFonts w:hint="eastAsia" w:ascii="宋体" w:hAnsi="宋体" w:cs="宋体"/>
                <w:color w:val="000000"/>
                <w:sz w:val="24"/>
              </w:rPr>
              <w:t>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本年度安排购买图</w:t>
            </w:r>
            <w:r>
              <w:rPr>
                <w:rFonts w:hint="eastAsia" w:ascii="宋体" w:hAnsi="宋体" w:cs="宋体"/>
                <w:color w:val="000000"/>
                <w:sz w:val="24"/>
                <w:lang w:eastAsia="zh-CN"/>
              </w:rPr>
              <w:t>书</w:t>
            </w:r>
            <w:r>
              <w:rPr>
                <w:rFonts w:hint="eastAsia" w:ascii="宋体" w:hAnsi="宋体" w:cs="宋体"/>
                <w:color w:val="000000"/>
                <w:sz w:val="24"/>
                <w:lang w:val="en-US" w:eastAsia="zh-CN"/>
              </w:rPr>
              <w:t>4000来</w:t>
            </w:r>
            <w:r>
              <w:rPr>
                <w:rFonts w:hint="eastAsia" w:ascii="宋体" w:hAnsi="宋体" w:cs="宋体"/>
                <w:color w:val="000000"/>
                <w:sz w:val="24"/>
              </w:rPr>
              <w:t>册</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确保图书免费阅读开放，为市民提供免费阅读保障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确保阅读服务质量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保障了市民免费阅读</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按时开放阅读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确保按时开放，保障阅读</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每天按时开放阅读</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图书资料长期免费借阅流通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提升全县文化质量，促进社会和谐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提升全县文化质量，促进社会和谐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w:t>
            </w:r>
            <w:r>
              <w:rPr>
                <w:rFonts w:hint="eastAsia" w:ascii="宋体" w:hAnsi="宋体" w:cs="宋体"/>
                <w:color w:val="000000"/>
                <w:sz w:val="24"/>
                <w:lang w:eastAsia="zh-CN"/>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95%</w:t>
            </w: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本部门按要求对2018年部门整体支出绩效评价情况开展自评，《开江县</w:t>
      </w:r>
      <w:r>
        <w:rPr>
          <w:rFonts w:hint="eastAsia" w:ascii="仿宋_GB2312" w:hAnsi="仿宋_GB2312" w:eastAsia="仿宋_GB2312" w:cs="仿宋_GB2312"/>
          <w:sz w:val="32"/>
          <w:szCs w:val="32"/>
          <w:lang w:eastAsia="zh-CN"/>
        </w:rPr>
        <w:t>图书馆</w:t>
      </w:r>
      <w:r>
        <w:rPr>
          <w:rFonts w:hint="eastAsia" w:ascii="仿宋_GB2312" w:hAnsi="仿宋_GB2312" w:eastAsia="仿宋_GB2312" w:cs="仿宋_GB2312"/>
          <w:sz w:val="32"/>
          <w:szCs w:val="32"/>
        </w:rPr>
        <w:t>2018年部门整体支出绩效评价报告》见附件。</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8"/>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8"/>
          <w:rFonts w:hint="eastAsia" w:ascii="黑体" w:hAnsi="黑体" w:eastAsia="黑体"/>
        </w:rPr>
        <w:t>一、</w:t>
      </w:r>
      <w:r>
        <w:rPr>
          <w:rStyle w:val="28"/>
          <w:rFonts w:hint="eastAsia" w:ascii="黑体" w:hAnsi="黑体" w:eastAsia="黑体"/>
          <w:b w:val="0"/>
        </w:rPr>
        <w:t>其他重要事项的情况说明</w:t>
      </w:r>
      <w:bookmarkEnd w:id="50"/>
      <w:bookmarkEnd w:id="51"/>
    </w:p>
    <w:p>
      <w:pPr>
        <w:pStyle w:val="26"/>
        <w:numPr>
          <w:ilvl w:val="0"/>
          <w:numId w:val="6"/>
        </w:numPr>
        <w:spacing w:line="600" w:lineRule="exact"/>
        <w:ind w:firstLineChars="0"/>
        <w:outlineLvl w:val="2"/>
        <w:rPr>
          <w:rFonts w:ascii="仿宋" w:hAnsi="仿宋" w:eastAsia="仿宋"/>
          <w:b/>
          <w:color w:val="000000"/>
          <w:sz w:val="32"/>
          <w:szCs w:val="32"/>
        </w:rPr>
      </w:pPr>
      <w:bookmarkStart w:id="52" w:name="_Toc15377222"/>
      <w:r>
        <w:rPr>
          <w:rFonts w:hint="eastAsia" w:ascii="仿宋" w:hAnsi="仿宋" w:eastAsia="仿宋"/>
          <w:b/>
          <w:color w:val="000000"/>
          <w:sz w:val="32"/>
          <w:szCs w:val="32"/>
        </w:rPr>
        <w:t>机关运行经费支出情况</w:t>
      </w:r>
      <w:bookmarkEnd w:id="52"/>
    </w:p>
    <w:p>
      <w:pPr>
        <w:spacing w:line="600" w:lineRule="exact"/>
        <w:ind w:firstLine="640" w:firstLineChars="200"/>
        <w:outlineLvl w:val="2"/>
        <w:rPr>
          <w:rFonts w:ascii="仿宋_GB2312" w:eastAsia="仿宋_GB2312"/>
          <w:color w:val="000000"/>
          <w:sz w:val="32"/>
          <w:szCs w:val="32"/>
        </w:rPr>
      </w:pPr>
      <w:r>
        <w:rPr>
          <w:rFonts w:hint="eastAsia" w:ascii="仿宋_GB2312" w:eastAsia="仿宋_GB2312"/>
          <w:color w:val="000000"/>
          <w:sz w:val="32"/>
          <w:szCs w:val="32"/>
          <w:lang w:val="en-US" w:eastAsia="zh-CN"/>
        </w:rPr>
        <w:t>2018年，</w:t>
      </w:r>
      <w:r>
        <w:rPr>
          <w:rFonts w:ascii="仿宋_GB2312" w:eastAsia="仿宋_GB2312"/>
          <w:color w:val="000000"/>
          <w:sz w:val="32"/>
          <w:szCs w:val="32"/>
        </w:rPr>
        <w:t>开江县图书馆</w:t>
      </w:r>
      <w:r>
        <w:rPr>
          <w:rFonts w:hint="eastAsia" w:ascii="仿宋_GB2312" w:eastAsia="仿宋_GB2312"/>
          <w:color w:val="000000"/>
          <w:sz w:val="32"/>
          <w:szCs w:val="32"/>
          <w:lang w:val="en-US" w:eastAsia="zh-CN"/>
        </w:rPr>
        <w:t>机关运行经费支出0万元，与2017年持平。</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8年，图书馆政府采购支出总额0万元。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日，图书馆共有车辆0辆，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7"/>
        </w:numPr>
        <w:spacing w:line="600" w:lineRule="exact"/>
        <w:ind w:firstLine="663" w:firstLineChars="150"/>
        <w:jc w:val="center"/>
        <w:outlineLvl w:val="0"/>
        <w:rPr>
          <w:rStyle w:val="27"/>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27"/>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5"/>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5"/>
        <w:spacing w:line="560" w:lineRule="exact"/>
        <w:ind w:firstLine="640" w:firstLineChars="200"/>
        <w:rPr>
          <w:rFonts w:ascii="仿宋_GB2312" w:eastAsia="仿宋_GB2312"/>
          <w:sz w:val="32"/>
          <w:szCs w:val="32"/>
          <w:highlight w:val="red"/>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、年末结转和结余：指单位按有关规定结转到下年或以后年度继续使用的资金。</w:t>
      </w:r>
    </w:p>
    <w:p>
      <w:pPr>
        <w:numPr>
          <w:ilvl w:val="0"/>
          <w:numId w:val="0"/>
        </w:num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教育（类）</w:t>
      </w:r>
      <w:r>
        <w:rPr>
          <w:rFonts w:hint="eastAsia" w:ascii="仿宋_GB2312" w:eastAsia="仿宋_GB2312"/>
          <w:color w:val="000000"/>
          <w:sz w:val="32"/>
          <w:szCs w:val="32"/>
          <w:lang w:val="en-US" w:eastAsia="zh-CN"/>
        </w:rPr>
        <w:t>进修及培训</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培训支出</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反映各部门安排的用于培训的支出。教育部门的师资培训、党校、行政学院等专业干部教育机构的支出，以及退役士兵、转业士官的培训支出，不在本科目反映</w:t>
      </w:r>
      <w:r>
        <w:rPr>
          <w:rFonts w:hint="eastAsia" w:ascii="仿宋_GB2312" w:eastAsia="仿宋_GB2312"/>
          <w:color w:val="000000"/>
          <w:sz w:val="32"/>
          <w:szCs w:val="32"/>
        </w:rPr>
        <w:t>。</w:t>
      </w:r>
    </w:p>
    <w:p>
      <w:pPr>
        <w:numPr>
          <w:ilvl w:val="0"/>
          <w:numId w:val="0"/>
        </w:num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文化体育与传媒（类）</w:t>
      </w:r>
      <w:r>
        <w:rPr>
          <w:rFonts w:hint="eastAsia" w:ascii="仿宋_GB2312" w:eastAsia="仿宋_GB2312"/>
          <w:color w:val="000000"/>
          <w:sz w:val="32"/>
          <w:szCs w:val="32"/>
          <w:lang w:val="en-US" w:eastAsia="zh-CN"/>
        </w:rPr>
        <w:t>文化</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图书馆</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反映图书馆的支出。</w:t>
      </w:r>
    </w:p>
    <w:p>
      <w:pPr>
        <w:numPr>
          <w:ilvl w:val="0"/>
          <w:numId w:val="0"/>
        </w:num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10.文化教育与传媒（类）其他文化体育与传媒支出：反映上述项目以外其他用于文化体育与传媒方面的支出。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val="en-US" w:eastAsia="zh-CN"/>
        </w:rPr>
        <w:t>行政事业单位离退休</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机关事业单位基本养老保险缴费支出</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反映机关事业单位实施养老保险制度由单位缴纳的基本养老保险支出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lang w:val="en-US" w:eastAsia="zh-CN"/>
        </w:rPr>
        <w:t>行政事业单位医疗</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事业单位医疗</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反映财政部门集中安排的事业单位基本医疗保险缴费经费，未参加医疗保险的事业单位的公费医疗经费，按国家规定享受离休人员待遇的医疗经费</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住房保障（类）</w:t>
      </w:r>
      <w:r>
        <w:rPr>
          <w:rFonts w:hint="eastAsia" w:ascii="仿宋_GB2312" w:eastAsia="仿宋_GB2312"/>
          <w:color w:val="000000"/>
          <w:sz w:val="32"/>
          <w:szCs w:val="32"/>
          <w:lang w:val="en-US" w:eastAsia="zh-CN"/>
        </w:rPr>
        <w:t>住房改革支出</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住房公积金</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反映行政事业单位按人力资源和社会保障部、财政部规定的基本工资和津巾以及规定比例为职工缴纳的住房公积金</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14</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 xml:space="preserve">.项目支出：指在基本支出之外为完成特定行政任务和事业发展目标所发生的支出。 </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16</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hint="eastAsia" w:ascii="仿宋_GB2312" w:eastAsia="仿宋_GB2312"/>
          <w:sz w:val="32"/>
          <w:szCs w:val="32"/>
        </w:rPr>
      </w:pPr>
    </w:p>
    <w:p>
      <w:pPr>
        <w:ind w:firstLine="640" w:firstLineChars="200"/>
        <w:rPr>
          <w:rFonts w:ascii="仿宋_GB2312" w:eastAsia="仿宋_GB2312"/>
          <w:color w:val="000000"/>
          <w:sz w:val="32"/>
          <w:szCs w:val="32"/>
        </w:rPr>
      </w:pPr>
    </w:p>
    <w:p>
      <w:pPr>
        <w:spacing w:line="600" w:lineRule="exact"/>
        <w:jc w:val="center"/>
        <w:outlineLvl w:val="0"/>
        <w:rPr>
          <w:rStyle w:val="27"/>
          <w:rFonts w:ascii="黑体" w:hAnsi="黑体" w:eastAsia="黑体"/>
          <w:b w:val="0"/>
        </w:rPr>
      </w:pPr>
      <w:bookmarkStart w:id="57" w:name="_Toc15396614"/>
      <w:bookmarkStart w:id="58" w:name="_Toc15377226"/>
      <w:r>
        <w:rPr>
          <w:rFonts w:hint="eastAsia" w:ascii="黑体" w:hAnsi="黑体" w:eastAsia="黑体"/>
          <w:color w:val="000000"/>
          <w:sz w:val="44"/>
          <w:szCs w:val="44"/>
        </w:rPr>
        <w:t>第</w:t>
      </w:r>
      <w:r>
        <w:rPr>
          <w:rStyle w:val="27"/>
          <w:rFonts w:hint="eastAsia" w:ascii="黑体" w:hAnsi="黑体" w:eastAsia="黑体"/>
          <w:b w:val="0"/>
        </w:rPr>
        <w:t>四部分 附件</w:t>
      </w:r>
      <w:bookmarkEnd w:id="57"/>
    </w:p>
    <w:p>
      <w:pPr>
        <w:spacing w:line="600" w:lineRule="exact"/>
        <w:jc w:val="center"/>
        <w:outlineLvl w:val="0"/>
        <w:rPr>
          <w:rStyle w:val="27"/>
        </w:rPr>
      </w:pPr>
    </w:p>
    <w:p>
      <w:pPr>
        <w:pStyle w:val="3"/>
        <w:rPr>
          <w:rStyle w:val="27"/>
          <w:rFonts w:ascii="仿宋" w:hAnsi="仿宋" w:eastAsia="仿宋"/>
          <w:b w:val="0"/>
          <w:bCs w:val="0"/>
          <w:sz w:val="32"/>
          <w:szCs w:val="32"/>
        </w:rPr>
      </w:pPr>
    </w:p>
    <w:p>
      <w:pPr>
        <w:spacing w:line="600" w:lineRule="exact"/>
        <w:jc w:val="center"/>
        <w:outlineLvl w:val="0"/>
        <w:rPr>
          <w:rFonts w:ascii="黑体" w:hAnsi="黑体" w:eastAsia="黑体" w:cs="方正小标宋简体"/>
          <w:sz w:val="36"/>
          <w:szCs w:val="36"/>
        </w:rPr>
      </w:pPr>
      <w:bookmarkStart w:id="59" w:name="_Toc15396616"/>
      <w:r>
        <w:rPr>
          <w:rFonts w:hint="eastAsia" w:ascii="黑体" w:hAnsi="黑体" w:eastAsia="黑体" w:cs="方正小标宋简体"/>
          <w:sz w:val="36"/>
          <w:szCs w:val="36"/>
          <w:lang w:eastAsia="zh-CN"/>
        </w:rPr>
        <w:t>开江县图书馆</w:t>
      </w:r>
      <w:r>
        <w:rPr>
          <w:rFonts w:hint="eastAsia" w:ascii="黑体" w:hAnsi="黑体" w:eastAsia="黑体" w:cs="方正小标宋简体"/>
          <w:sz w:val="36"/>
          <w:szCs w:val="36"/>
        </w:rPr>
        <w:t>2018年部门整体支出绩效评价报告</w:t>
      </w:r>
      <w:bookmarkEnd w:id="59"/>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一、单位概况</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（一）机构组成。</w:t>
      </w:r>
      <w:r>
        <w:rPr>
          <w:rFonts w:hint="eastAsia" w:ascii="仿宋" w:hAnsi="仿宋" w:eastAsia="仿宋" w:cs="仿宋_GB2312"/>
          <w:sz w:val="32"/>
          <w:szCs w:val="32"/>
          <w:lang w:eastAsia="zh-CN"/>
        </w:rPr>
        <w:t>开江县图书馆系开江县文化广电新闻出版局的下属单位，是具有独立编制、独立核算的事业单位。单位设置办公室、外借室、少儿阅览室、多功能媒体室、盲人阅览室、财务室等。</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r>
        <w:rPr>
          <w:rFonts w:hint="eastAsia" w:ascii="仿宋" w:hAnsi="仿宋" w:eastAsia="仿宋" w:cs="仿宋_GB2312"/>
          <w:sz w:val="32"/>
          <w:szCs w:val="32"/>
          <w:lang w:eastAsia="zh-CN"/>
        </w:rPr>
        <w:t>开江县图书馆是国家三级图书馆,其主要职能是保存借阅图书资料，促进社会经济文化发展。</w:t>
      </w:r>
    </w:p>
    <w:p>
      <w:pPr>
        <w:spacing w:line="580" w:lineRule="exact"/>
        <w:ind w:firstLine="640" w:firstLineChars="200"/>
        <w:rPr>
          <w:rFonts w:hint="default" w:ascii="仿宋" w:hAnsi="仿宋" w:eastAsia="仿宋" w:cs="仿宋_GB2312"/>
          <w:sz w:val="32"/>
          <w:szCs w:val="32"/>
          <w:lang w:val="en-US" w:eastAsia="zh-CN"/>
        </w:rPr>
      </w:pPr>
      <w:r>
        <w:rPr>
          <w:rFonts w:ascii="仿宋" w:hAnsi="仿宋" w:eastAsia="仿宋" w:cs="仿宋_GB2312"/>
          <w:sz w:val="32"/>
          <w:szCs w:val="32"/>
        </w:rPr>
        <w:t>（三）人员概况。</w:t>
      </w:r>
      <w:r>
        <w:rPr>
          <w:rFonts w:hint="eastAsia" w:ascii="仿宋" w:hAnsi="仿宋" w:eastAsia="仿宋" w:cs="仿宋_GB2312"/>
          <w:sz w:val="32"/>
          <w:szCs w:val="32"/>
          <w:lang w:val="en-US" w:eastAsia="zh-CN"/>
        </w:rPr>
        <w:t>2018年年末实有在职职工8人，退休人员7人，遗属1人。事业编制人数6人。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w:t>
      </w:r>
      <w:r>
        <w:rPr>
          <w:rFonts w:hint="eastAsia" w:ascii="仿宋" w:hAnsi="仿宋" w:eastAsia="仿宋"/>
          <w:color w:val="000000"/>
          <w:sz w:val="32"/>
          <w:szCs w:val="32"/>
          <w:lang w:eastAsia="zh-CN"/>
        </w:rPr>
        <w:t>收入总计</w:t>
      </w:r>
      <w:r>
        <w:rPr>
          <w:rFonts w:hint="eastAsia" w:ascii="仿宋" w:hAnsi="仿宋" w:eastAsia="仿宋"/>
          <w:color w:val="000000"/>
          <w:sz w:val="32"/>
          <w:szCs w:val="32"/>
          <w:lang w:val="en-US" w:eastAsia="zh-CN"/>
        </w:rPr>
        <w:t>125.66万元，其中：本年收入合计110.17万元，主要是一般公共预算财政拨款</w:t>
      </w:r>
      <w:r>
        <w:rPr>
          <w:rFonts w:hint="eastAsia" w:ascii="仿宋" w:hAnsi="仿宋" w:eastAsia="仿宋"/>
          <w:color w:val="000000"/>
          <w:sz w:val="32"/>
          <w:szCs w:val="32"/>
        </w:rPr>
        <w:t>收入110.17万元</w:t>
      </w:r>
      <w:r>
        <w:rPr>
          <w:rFonts w:hint="eastAsia" w:ascii="仿宋" w:hAnsi="仿宋" w:eastAsia="仿宋"/>
          <w:color w:val="000000"/>
          <w:sz w:val="32"/>
          <w:szCs w:val="32"/>
          <w:lang w:val="en-US" w:eastAsia="zh-CN"/>
        </w:rPr>
        <w:t>；</w:t>
      </w:r>
      <w:r>
        <w:rPr>
          <w:rFonts w:hint="eastAsia" w:ascii="仿宋" w:hAnsi="仿宋" w:eastAsia="仿宋"/>
          <w:color w:val="000000"/>
          <w:sz w:val="32"/>
          <w:szCs w:val="32"/>
          <w:lang w:eastAsia="zh-CN"/>
        </w:rPr>
        <w:t>年初结转和结余</w:t>
      </w:r>
      <w:r>
        <w:rPr>
          <w:rFonts w:hint="eastAsia" w:ascii="仿宋" w:hAnsi="仿宋" w:eastAsia="仿宋"/>
          <w:color w:val="000000"/>
          <w:sz w:val="32"/>
          <w:szCs w:val="32"/>
          <w:lang w:val="en-US" w:eastAsia="zh-CN"/>
        </w:rPr>
        <w:t>15.49万元。</w:t>
      </w:r>
    </w:p>
    <w:p>
      <w:pPr>
        <w:numPr>
          <w:ilvl w:val="0"/>
          <w:numId w:val="6"/>
        </w:numPr>
        <w:spacing w:line="580" w:lineRule="exact"/>
        <w:ind w:left="1723" w:leftChars="0" w:hanging="1080" w:firstLineChars="0"/>
        <w:rPr>
          <w:rFonts w:ascii="仿宋" w:hAnsi="仿宋" w:eastAsia="仿宋" w:cs="仿宋_GB2312"/>
          <w:sz w:val="32"/>
          <w:szCs w:val="32"/>
        </w:rPr>
      </w:pPr>
      <w:r>
        <w:rPr>
          <w:rFonts w:ascii="仿宋" w:hAnsi="仿宋" w:eastAsia="仿宋" w:cs="仿宋_GB2312"/>
          <w:sz w:val="32"/>
          <w:szCs w:val="32"/>
        </w:rPr>
        <w:t>部门财政资金支出情况。</w:t>
      </w:r>
    </w:p>
    <w:p>
      <w:pPr>
        <w:spacing w:line="600" w:lineRule="exact"/>
        <w:ind w:firstLine="640"/>
        <w:rPr>
          <w:rFonts w:hint="default" w:ascii="仿宋" w:hAnsi="仿宋" w:eastAsia="仿宋"/>
          <w:color w:val="000000" w:themeColor="text1"/>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8年</w:t>
      </w:r>
      <w:r>
        <w:rPr>
          <w:rFonts w:hint="eastAsia" w:ascii="仿宋" w:hAnsi="仿宋" w:eastAsia="仿宋"/>
          <w:color w:val="000000"/>
          <w:sz w:val="32"/>
          <w:szCs w:val="32"/>
          <w:lang w:val="en-US" w:eastAsia="zh-CN"/>
        </w:rPr>
        <w:t>支出总计125.66万元，其中：</w:t>
      </w:r>
      <w:r>
        <w:rPr>
          <w:rFonts w:hint="eastAsia" w:ascii="仿宋" w:hAnsi="仿宋" w:eastAsia="仿宋"/>
          <w:color w:val="000000"/>
          <w:sz w:val="32"/>
          <w:szCs w:val="32"/>
        </w:rPr>
        <w:t>一般公共预算财政拨款支出110.75万元，</w:t>
      </w:r>
      <w:r>
        <w:rPr>
          <w:rFonts w:hint="eastAsia" w:ascii="仿宋" w:hAnsi="仿宋" w:eastAsia="仿宋"/>
          <w:color w:val="000000" w:themeColor="text1"/>
          <w:sz w:val="32"/>
          <w:szCs w:val="32"/>
        </w:rPr>
        <w:t>主要用于以下方面</w:t>
      </w:r>
      <w:r>
        <w:rPr>
          <w:rFonts w:ascii="仿宋" w:hAnsi="仿宋" w:eastAsia="仿宋"/>
          <w:color w:val="000000" w:themeColor="text1"/>
          <w:sz w:val="32"/>
          <w:szCs w:val="32"/>
        </w:rPr>
        <w:t>:</w:t>
      </w:r>
      <w:r>
        <w:rPr>
          <w:rFonts w:hint="eastAsia" w:ascii="仿宋" w:hAnsi="仿宋" w:eastAsia="仿宋"/>
          <w:color w:val="000000" w:themeColor="text1"/>
          <w:sz w:val="32"/>
          <w:szCs w:val="32"/>
        </w:rPr>
        <w:t>文化体育与传媒（类）支出90.55万元，社会保障和就业（类）支出10.49万元，医疗卫生支出（类）3.41万元，住房保障支出（类）6.3万元</w:t>
      </w:r>
      <w:r>
        <w:rPr>
          <w:rFonts w:hint="eastAsia" w:ascii="仿宋" w:hAnsi="仿宋" w:eastAsia="仿宋"/>
          <w:color w:val="000000" w:themeColor="text1"/>
          <w:sz w:val="32"/>
          <w:szCs w:val="32"/>
          <w:lang w:val="en-US" w:eastAsia="zh-CN"/>
        </w:rPr>
        <w:t>；</w:t>
      </w:r>
      <w:r>
        <w:rPr>
          <w:rFonts w:hint="eastAsia" w:ascii="仿宋" w:hAnsi="仿宋" w:eastAsia="仿宋"/>
          <w:color w:val="000000" w:themeColor="text1"/>
          <w:sz w:val="32"/>
          <w:szCs w:val="32"/>
          <w:lang w:eastAsia="zh-CN"/>
        </w:rPr>
        <w:t>年末结转和结余</w:t>
      </w:r>
      <w:r>
        <w:rPr>
          <w:rFonts w:hint="eastAsia" w:ascii="仿宋" w:hAnsi="仿宋" w:eastAsia="仿宋"/>
          <w:color w:val="000000" w:themeColor="text1"/>
          <w:sz w:val="32"/>
          <w:szCs w:val="32"/>
          <w:lang w:val="en-US" w:eastAsia="zh-CN"/>
        </w:rPr>
        <w:t>14.91万元。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600" w:lineRule="exact"/>
        <w:ind w:firstLine="640"/>
        <w:rPr>
          <w:rFonts w:hint="eastAsia" w:ascii="仿宋" w:hAnsi="仿宋" w:eastAsia="仿宋"/>
          <w:color w:val="000000" w:themeColor="text1"/>
          <w:sz w:val="32"/>
          <w:szCs w:val="32"/>
        </w:rPr>
      </w:pPr>
      <w:r>
        <w:rPr>
          <w:rFonts w:hint="eastAsia" w:ascii="仿宋" w:hAnsi="仿宋" w:eastAsia="仿宋"/>
          <w:color w:val="000000" w:themeColor="text1"/>
          <w:sz w:val="32"/>
          <w:szCs w:val="32"/>
          <w:lang w:val="en-US" w:eastAsia="zh-CN"/>
        </w:rPr>
        <w:t>1、预算编制方面：</w:t>
      </w:r>
      <w:r>
        <w:rPr>
          <w:rFonts w:hint="eastAsia" w:ascii="仿宋" w:hAnsi="仿宋" w:eastAsia="仿宋"/>
          <w:color w:val="000000" w:themeColor="text1"/>
          <w:sz w:val="32"/>
          <w:szCs w:val="32"/>
        </w:rPr>
        <w:t>严格执行《预算法》编制年初部门预算，根据县财政局的统一安排，结合本部门实际工作的情况，认真编制部门预算，经领导审核后，及时报送县财政局。</w:t>
      </w:r>
    </w:p>
    <w:p>
      <w:pPr>
        <w:spacing w:line="560" w:lineRule="exact"/>
        <w:ind w:firstLine="640" w:firstLineChars="200"/>
        <w:rPr>
          <w:rFonts w:hint="eastAsia" w:ascii="仿宋_GB2312" w:hAnsi="仿宋_GB2312" w:eastAsia="仿宋_GB2312" w:cs="仿宋_GB2312"/>
          <w:sz w:val="32"/>
          <w:szCs w:val="32"/>
        </w:rPr>
      </w:pPr>
      <w:r>
        <w:rPr>
          <w:rFonts w:hint="eastAsia" w:ascii="仿宋" w:hAnsi="仿宋" w:eastAsia="仿宋"/>
          <w:color w:val="000000" w:themeColor="text1"/>
          <w:sz w:val="32"/>
          <w:szCs w:val="32"/>
          <w:lang w:val="en-US" w:eastAsia="zh-CN"/>
        </w:rPr>
        <w:t>2、预算执行方面：严格落实《预算法》和预算管理相关规定，各项支出按照批准的预算审核列支，严格控制在预算额度内使用，支出的范围和标准符合相关规定。支出主要用于保障单位正常运转、完成文化活动开展：</w:t>
      </w:r>
      <w:r>
        <w:rPr>
          <w:rFonts w:hint="eastAsia" w:ascii="仿宋_GB2312" w:hAnsi="仿宋_GB2312" w:eastAsia="仿宋_GB2312" w:cs="仿宋_GB2312"/>
          <w:sz w:val="32"/>
          <w:szCs w:val="32"/>
        </w:rPr>
        <w:t>基本支出，是用于保障</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正常运转的日常支出，包括基本工资、津贴补贴等人员经费以及办公费、印刷费、水电费、办公设备购置等日常公用经费；项目支出，主要用于</w:t>
      </w:r>
      <w:r>
        <w:rPr>
          <w:rFonts w:hint="eastAsia" w:ascii="仿宋_GB2312" w:hAnsi="仿宋_GB2312" w:eastAsia="仿宋_GB2312" w:cs="仿宋_GB2312"/>
          <w:sz w:val="32"/>
          <w:szCs w:val="32"/>
          <w:lang w:eastAsia="zh-CN"/>
        </w:rPr>
        <w:t>图书馆免费开放日常项目</w:t>
      </w:r>
      <w:r>
        <w:rPr>
          <w:rFonts w:hint="eastAsia" w:ascii="仿宋_GB2312" w:hAnsi="仿宋_GB2312" w:eastAsia="仿宋_GB2312" w:cs="仿宋_GB2312"/>
          <w:sz w:val="32"/>
          <w:szCs w:val="32"/>
        </w:rPr>
        <w:t>等。</w:t>
      </w:r>
    </w:p>
    <w:p>
      <w:pPr>
        <w:spacing w:line="600" w:lineRule="exact"/>
        <w:ind w:firstLine="640"/>
        <w:rPr>
          <w:rFonts w:hint="eastAsia" w:ascii="仿宋" w:hAnsi="仿宋" w:eastAsia="仿宋"/>
          <w:color w:val="000000" w:themeColor="text1"/>
          <w:sz w:val="32"/>
          <w:szCs w:val="32"/>
        </w:rPr>
      </w:pPr>
      <w:r>
        <w:rPr>
          <w:rFonts w:hint="eastAsia" w:ascii="仿宋" w:hAnsi="仿宋" w:eastAsia="仿宋"/>
          <w:color w:val="000000" w:themeColor="text1"/>
          <w:sz w:val="32"/>
          <w:szCs w:val="32"/>
          <w:lang w:val="en-US" w:eastAsia="zh-CN"/>
        </w:rPr>
        <w:t>3、预算管理方面：部门整体支出能有效按照预算要求基本执行，预算支出范围合理，预算支出项目细化，资金使用方向明确，管理合规，且决算工作精细到位，基本体现了部门整体支出情况的数据统筹性和宏观性。</w:t>
      </w:r>
    </w:p>
    <w:p>
      <w:pPr>
        <w:spacing w:line="600" w:lineRule="exact"/>
        <w:ind w:firstLine="640"/>
        <w:rPr>
          <w:rFonts w:hint="eastAsia" w:ascii="仿宋" w:hAnsi="仿宋" w:eastAsia="仿宋"/>
          <w:color w:val="000000" w:themeColor="text1"/>
          <w:sz w:val="32"/>
          <w:szCs w:val="32"/>
        </w:rPr>
      </w:pPr>
      <w:r>
        <w:rPr>
          <w:rFonts w:hint="eastAsia" w:ascii="仿宋" w:hAnsi="仿宋" w:eastAsia="仿宋"/>
          <w:color w:val="000000" w:themeColor="text1"/>
          <w:sz w:val="32"/>
          <w:szCs w:val="32"/>
          <w:lang w:val="en-US" w:eastAsia="zh-CN"/>
        </w:rPr>
        <w:t>4、资产管理方面：我们进一步加强资产的管理，制定了《开江县图书馆财务管理制度》，明确了具体责任人，完善了固定资产档案，严格报批、销审等手续，做好资产统计工作，单位无固定资产流失现象。</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kern w:val="2"/>
          <w:sz w:val="32"/>
          <w:szCs w:val="32"/>
          <w:lang w:val="en-US" w:eastAsia="zh-CN" w:bidi="ar-SA"/>
        </w:rPr>
        <w:t>5.绩效管理和监督情况。坚持年初制定的全年目标任务责任到各室，到人头，确保各项工作有序开展。坚持工作目标任务与绩效工资挂钩，与年度目标考核评优挂钩，充分调动单位职工工作的积极性，做到奖勤罚懒，不搞一刀切，大锅饭。同时加强内部审计，接受上级部门的监督和审计，保证单位正常的经济活动有序开展，确保单位发展战略目标的全面实施和充分体现。能够较好地保证单位会计资料的真实性、合法性、完整性。</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600" w:lineRule="exact"/>
        <w:ind w:firstLine="640"/>
        <w:rPr>
          <w:rFonts w:hint="eastAsia" w:ascii="仿宋" w:hAnsi="仿宋" w:eastAsia="仿宋"/>
          <w:color w:val="000000" w:themeColor="text1"/>
          <w:sz w:val="32"/>
          <w:szCs w:val="32"/>
          <w:lang w:val="en-US" w:eastAsia="zh-CN"/>
        </w:rPr>
      </w:pPr>
      <w:r>
        <w:rPr>
          <w:rFonts w:ascii="仿宋" w:hAnsi="仿宋" w:eastAsia="仿宋" w:cs="仿宋_GB2312"/>
          <w:sz w:val="32"/>
          <w:szCs w:val="32"/>
        </w:rPr>
        <w:t>（</w:t>
      </w:r>
      <w:r>
        <w:rPr>
          <w:rFonts w:hint="eastAsia" w:ascii="仿宋" w:hAnsi="仿宋" w:eastAsia="仿宋"/>
          <w:color w:val="000000" w:themeColor="text1"/>
          <w:sz w:val="32"/>
          <w:szCs w:val="32"/>
          <w:lang w:val="en-US" w:eastAsia="zh-CN"/>
        </w:rPr>
        <w:t>一）评价结论。</w:t>
      </w:r>
    </w:p>
    <w:p>
      <w:pPr>
        <w:spacing w:line="600" w:lineRule="exact"/>
        <w:ind w:firstLine="640"/>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lang w:val="en-US" w:eastAsia="zh-CN"/>
        </w:rPr>
        <w:t>2018年，我单位积极履职，强化管理，较好地完成了年度绩效目标，有效保障了各项工作的完成，充分发挥了财政资金的经济效益、社会效益。通过加强预算收支管理，不断建立健全内部管理制度，梳理内部管理流程，部门整体支出管理水平得到提升。</w:t>
      </w:r>
    </w:p>
    <w:p>
      <w:pPr>
        <w:spacing w:line="600" w:lineRule="exact"/>
        <w:ind w:firstLine="640"/>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lang w:val="en-US" w:eastAsia="zh-CN"/>
        </w:rPr>
        <w:t>（二）存在问题。</w:t>
      </w:r>
    </w:p>
    <w:p>
      <w:pPr>
        <w:spacing w:line="600" w:lineRule="exact"/>
        <w:ind w:firstLine="640"/>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lang w:val="en-US" w:eastAsia="zh-CN"/>
        </w:rPr>
        <w:t>一是预算编制有待更严格执行。预算编制与实际支出项目有的仍存在细微差异。</w:t>
      </w:r>
    </w:p>
    <w:p>
      <w:pPr>
        <w:spacing w:line="600" w:lineRule="exact"/>
        <w:ind w:firstLine="640"/>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lang w:val="en-US" w:eastAsia="zh-CN"/>
        </w:rPr>
        <w:t>二是部门整体预算执行率未达到90%，预算执行有待提升。</w:t>
      </w:r>
    </w:p>
    <w:p>
      <w:pPr>
        <w:spacing w:line="600" w:lineRule="exact"/>
        <w:ind w:firstLine="640"/>
        <w:rPr>
          <w:rFonts w:hint="default" w:ascii="仿宋" w:hAnsi="仿宋" w:eastAsia="仿宋"/>
          <w:color w:val="000000" w:themeColor="text1"/>
          <w:sz w:val="32"/>
          <w:szCs w:val="32"/>
          <w:lang w:val="en-US" w:eastAsia="zh-CN"/>
        </w:rPr>
      </w:pPr>
      <w:r>
        <w:rPr>
          <w:rFonts w:hint="eastAsia" w:ascii="仿宋" w:hAnsi="仿宋" w:eastAsia="仿宋"/>
          <w:color w:val="000000" w:themeColor="text1"/>
          <w:sz w:val="32"/>
          <w:szCs w:val="32"/>
          <w:lang w:val="en-US" w:eastAsia="zh-CN"/>
        </w:rPr>
        <w:t>三</w:t>
      </w:r>
      <w:r>
        <w:rPr>
          <w:rFonts w:hint="default" w:ascii="仿宋" w:hAnsi="仿宋" w:eastAsia="仿宋"/>
          <w:color w:val="000000" w:themeColor="text1"/>
          <w:sz w:val="32"/>
          <w:szCs w:val="32"/>
          <w:lang w:val="en-US" w:eastAsia="zh-CN"/>
        </w:rPr>
        <w:t>是固定资产管理有待加强。部分固定资产折损。未及时进行清理。</w:t>
      </w:r>
    </w:p>
    <w:p>
      <w:pPr>
        <w:spacing w:line="600" w:lineRule="exact"/>
        <w:ind w:firstLine="640"/>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lang w:val="en-US" w:eastAsia="zh-CN"/>
        </w:rPr>
        <w:t>（三）改进建议。</w:t>
      </w:r>
    </w:p>
    <w:p>
      <w:pPr>
        <w:spacing w:line="600" w:lineRule="exact"/>
        <w:ind w:firstLine="640"/>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lang w:val="en-US" w:eastAsia="zh-CN"/>
        </w:rPr>
        <w:t>一是按照预算规定的项目和用途严格财务审核，经费支出严格按预算规定项目的财务支出内容进行财务核算，在预算金额内严格控制费用的支出。</w:t>
      </w:r>
    </w:p>
    <w:p>
      <w:pPr>
        <w:spacing w:line="600" w:lineRule="exact"/>
        <w:ind w:firstLine="640"/>
        <w:rPr>
          <w:rFonts w:hint="default" w:ascii="仿宋" w:hAnsi="仿宋" w:eastAsia="仿宋"/>
          <w:color w:val="000000" w:themeColor="text1"/>
          <w:sz w:val="32"/>
          <w:szCs w:val="32"/>
          <w:lang w:val="en-US" w:eastAsia="zh-CN"/>
        </w:rPr>
      </w:pPr>
      <w:r>
        <w:rPr>
          <w:rFonts w:hint="default" w:ascii="仿宋" w:hAnsi="仿宋" w:eastAsia="仿宋"/>
          <w:color w:val="000000" w:themeColor="text1"/>
          <w:sz w:val="32"/>
          <w:szCs w:val="32"/>
          <w:lang w:val="en-US" w:eastAsia="zh-CN"/>
        </w:rPr>
        <w:t>二是预算财务分析常态化，定期做好预算支出财务分析，做好单位整体支出预算评价工作。</w:t>
      </w:r>
    </w:p>
    <w:p>
      <w:pPr>
        <w:spacing w:line="600" w:lineRule="exact"/>
        <w:ind w:firstLine="640"/>
        <w:rPr>
          <w:rFonts w:hint="default" w:ascii="仿宋" w:hAnsi="仿宋" w:eastAsia="仿宋"/>
          <w:color w:val="000000" w:themeColor="text1"/>
          <w:sz w:val="32"/>
          <w:szCs w:val="32"/>
          <w:lang w:val="en-US" w:eastAsia="zh-CN"/>
        </w:rPr>
      </w:pPr>
      <w:r>
        <w:rPr>
          <w:rFonts w:hint="default" w:ascii="仿宋" w:hAnsi="仿宋" w:eastAsia="仿宋"/>
          <w:color w:val="000000" w:themeColor="text1"/>
          <w:sz w:val="32"/>
          <w:szCs w:val="32"/>
          <w:lang w:val="en-US" w:eastAsia="zh-CN"/>
        </w:rPr>
        <w:t>三是制</w:t>
      </w:r>
      <w:r>
        <w:rPr>
          <w:rFonts w:hint="eastAsia" w:ascii="仿宋" w:hAnsi="仿宋" w:eastAsia="仿宋"/>
          <w:color w:val="000000" w:themeColor="text1"/>
          <w:sz w:val="32"/>
          <w:szCs w:val="32"/>
          <w:lang w:val="en-US" w:eastAsia="zh-CN"/>
        </w:rPr>
        <w:t>定</w:t>
      </w:r>
      <w:r>
        <w:rPr>
          <w:rFonts w:hint="default" w:ascii="仿宋" w:hAnsi="仿宋" w:eastAsia="仿宋"/>
          <w:color w:val="000000" w:themeColor="text1"/>
          <w:sz w:val="32"/>
          <w:szCs w:val="32"/>
          <w:lang w:val="en-US" w:eastAsia="zh-CN"/>
        </w:rPr>
        <w:t>适用本</w:t>
      </w:r>
      <w:r>
        <w:rPr>
          <w:rFonts w:hint="eastAsia" w:ascii="仿宋" w:hAnsi="仿宋" w:eastAsia="仿宋"/>
          <w:color w:val="000000" w:themeColor="text1"/>
          <w:sz w:val="32"/>
          <w:szCs w:val="32"/>
          <w:lang w:val="en-US" w:eastAsia="zh-CN"/>
        </w:rPr>
        <w:t>单位</w:t>
      </w:r>
      <w:r>
        <w:rPr>
          <w:rFonts w:hint="default" w:ascii="仿宋" w:hAnsi="仿宋" w:eastAsia="仿宋"/>
          <w:color w:val="000000" w:themeColor="text1"/>
          <w:sz w:val="32"/>
          <w:szCs w:val="32"/>
          <w:lang w:val="en-US" w:eastAsia="zh-CN"/>
        </w:rPr>
        <w:t>的固定资产管理制度，从资产采购、使用以及报废各环节规范固定资产的管理，提高固定资产使用效率，减少资金浪费。</w:t>
      </w:r>
    </w:p>
    <w:p>
      <w:pPr>
        <w:spacing w:line="600" w:lineRule="exact"/>
        <w:ind w:firstLine="640"/>
        <w:rPr>
          <w:rFonts w:hint="eastAsia" w:ascii="仿宋" w:hAnsi="仿宋" w:eastAsia="仿宋"/>
          <w:color w:val="000000" w:themeColor="text1"/>
          <w:sz w:val="32"/>
          <w:szCs w:val="32"/>
          <w:lang w:val="en-US" w:eastAsia="zh-CN"/>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27"/>
          <w:rFonts w:ascii="黑体" w:hAnsi="黑体" w:eastAsia="黑体"/>
          <w:b w:val="0"/>
        </w:rPr>
      </w:pPr>
      <w:bookmarkStart w:id="60" w:name="_Toc15396618"/>
      <w:r>
        <w:rPr>
          <w:rFonts w:hint="eastAsia" w:ascii="黑体" w:hAnsi="黑体" w:eastAsia="黑体"/>
          <w:color w:val="000000"/>
          <w:sz w:val="44"/>
          <w:szCs w:val="44"/>
        </w:rPr>
        <w:t>第</w:t>
      </w:r>
      <w:r>
        <w:rPr>
          <w:rStyle w:val="27"/>
          <w:rFonts w:hint="eastAsia" w:ascii="黑体" w:hAnsi="黑体" w:eastAsia="黑体"/>
          <w:b w:val="0"/>
        </w:rPr>
        <w:t>五部分 附表</w:t>
      </w:r>
      <w:bookmarkEnd w:id="58"/>
      <w:bookmarkEnd w:id="60"/>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1" w:name="_Toc15396619"/>
      <w:r>
        <w:rPr>
          <w:rFonts w:hint="eastAsia" w:ascii="仿宋" w:hAnsi="仿宋" w:eastAsia="仿宋"/>
          <w:b w:val="0"/>
          <w:color w:val="000000"/>
        </w:rPr>
        <w:t>一、收</w:t>
      </w:r>
      <w:r>
        <w:rPr>
          <w:rStyle w:val="28"/>
          <w:rFonts w:hint="eastAsia" w:ascii="仿宋" w:hAnsi="仿宋" w:eastAsia="仿宋"/>
          <w:b w:val="0"/>
          <w:bCs w:val="0"/>
        </w:rPr>
        <w:t>入支出决算总表</w:t>
      </w:r>
      <w:bookmarkEnd w:id="61"/>
    </w:p>
    <w:p>
      <w:pPr>
        <w:pStyle w:val="3"/>
        <w:rPr>
          <w:rFonts w:ascii="仿宋" w:hAnsi="仿宋" w:eastAsia="仿宋"/>
          <w:color w:val="000000"/>
        </w:rPr>
      </w:pPr>
      <w:bookmarkStart w:id="62" w:name="_Toc15396620"/>
      <w:r>
        <w:rPr>
          <w:rFonts w:hint="eastAsia" w:ascii="仿宋" w:hAnsi="仿宋" w:eastAsia="仿宋"/>
          <w:b w:val="0"/>
          <w:color w:val="000000"/>
        </w:rPr>
        <w:t>二、收</w:t>
      </w:r>
      <w:r>
        <w:rPr>
          <w:rStyle w:val="28"/>
          <w:rFonts w:hint="eastAsia" w:ascii="仿宋" w:hAnsi="仿宋" w:eastAsia="仿宋"/>
          <w:b w:val="0"/>
          <w:bCs w:val="0"/>
        </w:rPr>
        <w:t>入总表</w:t>
      </w:r>
      <w:bookmarkEnd w:id="62"/>
    </w:p>
    <w:p>
      <w:pPr>
        <w:pStyle w:val="3"/>
        <w:rPr>
          <w:rFonts w:ascii="仿宋" w:hAnsi="仿宋" w:eastAsia="仿宋"/>
          <w:color w:val="000000"/>
        </w:rPr>
      </w:pPr>
      <w:bookmarkStart w:id="63" w:name="_Toc15396621"/>
      <w:r>
        <w:rPr>
          <w:rStyle w:val="28"/>
          <w:rFonts w:hint="eastAsia" w:ascii="仿宋" w:hAnsi="仿宋" w:eastAsia="仿宋"/>
          <w:b w:val="0"/>
          <w:bCs w:val="0"/>
        </w:rPr>
        <w:t>三、</w:t>
      </w:r>
      <w:r>
        <w:rPr>
          <w:rFonts w:hint="eastAsia" w:ascii="仿宋" w:hAnsi="仿宋" w:eastAsia="仿宋"/>
          <w:b w:val="0"/>
          <w:color w:val="000000"/>
        </w:rPr>
        <w:t>支</w:t>
      </w:r>
      <w:r>
        <w:rPr>
          <w:rStyle w:val="28"/>
          <w:rFonts w:hint="eastAsia" w:ascii="仿宋" w:hAnsi="仿宋" w:eastAsia="仿宋"/>
          <w:b w:val="0"/>
          <w:bCs w:val="0"/>
        </w:rPr>
        <w:t>出总表</w:t>
      </w:r>
      <w:bookmarkEnd w:id="63"/>
    </w:p>
    <w:p>
      <w:pPr>
        <w:pStyle w:val="3"/>
        <w:rPr>
          <w:rFonts w:ascii="仿宋" w:hAnsi="仿宋" w:eastAsia="仿宋"/>
          <w:b w:val="0"/>
          <w:color w:val="000000"/>
        </w:rPr>
      </w:pPr>
      <w:bookmarkStart w:id="64" w:name="_Toc15396622"/>
      <w:r>
        <w:rPr>
          <w:rStyle w:val="28"/>
          <w:rFonts w:hint="eastAsia" w:ascii="仿宋" w:hAnsi="仿宋" w:eastAsia="仿宋"/>
          <w:b w:val="0"/>
          <w:bCs w:val="0"/>
        </w:rPr>
        <w:t>四、</w:t>
      </w:r>
      <w:r>
        <w:rPr>
          <w:rFonts w:hint="eastAsia" w:ascii="仿宋" w:hAnsi="仿宋" w:eastAsia="仿宋"/>
          <w:b w:val="0"/>
          <w:color w:val="000000"/>
        </w:rPr>
        <w:t>财</w:t>
      </w:r>
      <w:r>
        <w:rPr>
          <w:rStyle w:val="28"/>
          <w:rFonts w:hint="eastAsia" w:ascii="仿宋" w:hAnsi="仿宋" w:eastAsia="仿宋"/>
          <w:b w:val="0"/>
          <w:bCs w:val="0"/>
        </w:rPr>
        <w:t>政拨款收入支出决算总表</w:t>
      </w:r>
      <w:bookmarkEnd w:id="64"/>
    </w:p>
    <w:p>
      <w:pPr>
        <w:pStyle w:val="3"/>
        <w:rPr>
          <w:rFonts w:ascii="仿宋" w:hAnsi="仿宋" w:eastAsia="仿宋"/>
          <w:color w:val="000000"/>
        </w:rPr>
      </w:pPr>
      <w:bookmarkStart w:id="65" w:name="_Toc15396623"/>
      <w:r>
        <w:rPr>
          <w:rStyle w:val="28"/>
          <w:rFonts w:hint="eastAsia" w:ascii="仿宋" w:hAnsi="仿宋" w:eastAsia="仿宋"/>
          <w:b w:val="0"/>
          <w:bCs w:val="0"/>
        </w:rPr>
        <w:t>五、</w:t>
      </w:r>
      <w:r>
        <w:rPr>
          <w:rFonts w:hint="eastAsia" w:ascii="仿宋" w:hAnsi="仿宋" w:eastAsia="仿宋"/>
          <w:b w:val="0"/>
          <w:color w:val="000000"/>
        </w:rPr>
        <w:t>财</w:t>
      </w:r>
      <w:r>
        <w:rPr>
          <w:rStyle w:val="28"/>
          <w:rFonts w:hint="eastAsia" w:ascii="仿宋" w:hAnsi="仿宋" w:eastAsia="仿宋"/>
          <w:b w:val="0"/>
          <w:bCs w:val="0"/>
        </w:rPr>
        <w:t>政拨款支出决算明细表（政府经济分类科目）</w:t>
      </w:r>
      <w:bookmarkEnd w:id="65"/>
    </w:p>
    <w:p>
      <w:pPr>
        <w:pStyle w:val="3"/>
        <w:rPr>
          <w:rFonts w:ascii="仿宋" w:hAnsi="仿宋" w:eastAsia="仿宋"/>
          <w:color w:val="000000"/>
        </w:rPr>
      </w:pPr>
      <w:bookmarkStart w:id="66" w:name="_Toc15396624"/>
      <w:r>
        <w:rPr>
          <w:rStyle w:val="28"/>
          <w:rFonts w:hint="eastAsia" w:ascii="仿宋" w:hAnsi="仿宋" w:eastAsia="仿宋"/>
          <w:b w:val="0"/>
          <w:bCs w:val="0"/>
        </w:rPr>
        <w:t>六、</w:t>
      </w:r>
      <w:r>
        <w:rPr>
          <w:rFonts w:hint="eastAsia" w:ascii="仿宋" w:hAnsi="仿宋" w:eastAsia="仿宋"/>
          <w:b w:val="0"/>
          <w:color w:val="000000"/>
        </w:rPr>
        <w:t>一</w:t>
      </w:r>
      <w:r>
        <w:rPr>
          <w:rStyle w:val="28"/>
          <w:rFonts w:hint="eastAsia" w:ascii="仿宋" w:hAnsi="仿宋" w:eastAsia="仿宋"/>
          <w:b w:val="0"/>
          <w:bCs w:val="0"/>
        </w:rPr>
        <w:t>般公共预算财政拨款支出决算表</w:t>
      </w:r>
      <w:bookmarkEnd w:id="66"/>
    </w:p>
    <w:p>
      <w:pPr>
        <w:pStyle w:val="3"/>
        <w:rPr>
          <w:rFonts w:ascii="仿宋" w:hAnsi="仿宋" w:eastAsia="仿宋"/>
          <w:color w:val="000000"/>
        </w:rPr>
      </w:pPr>
      <w:bookmarkStart w:id="67" w:name="_Toc15396625"/>
      <w:r>
        <w:rPr>
          <w:rStyle w:val="28"/>
          <w:rFonts w:hint="eastAsia" w:ascii="仿宋" w:hAnsi="仿宋" w:eastAsia="仿宋"/>
          <w:b w:val="0"/>
          <w:bCs w:val="0"/>
        </w:rPr>
        <w:t>七、</w:t>
      </w:r>
      <w:r>
        <w:rPr>
          <w:rFonts w:hint="eastAsia" w:ascii="仿宋" w:hAnsi="仿宋" w:eastAsia="仿宋"/>
          <w:b w:val="0"/>
          <w:color w:val="000000"/>
        </w:rPr>
        <w:t>一</w:t>
      </w:r>
      <w:r>
        <w:rPr>
          <w:rStyle w:val="28"/>
          <w:rFonts w:hint="eastAsia" w:ascii="仿宋" w:hAnsi="仿宋" w:eastAsia="仿宋"/>
          <w:b w:val="0"/>
          <w:bCs w:val="0"/>
        </w:rPr>
        <w:t>般公共预算财政拨款支出决算明细表</w:t>
      </w:r>
      <w:bookmarkEnd w:id="67"/>
    </w:p>
    <w:p>
      <w:pPr>
        <w:pStyle w:val="3"/>
        <w:rPr>
          <w:rFonts w:ascii="仿宋" w:hAnsi="仿宋" w:eastAsia="仿宋"/>
          <w:color w:val="000000"/>
        </w:rPr>
      </w:pPr>
      <w:bookmarkStart w:id="68" w:name="_Toc15396626"/>
      <w:r>
        <w:rPr>
          <w:rStyle w:val="28"/>
          <w:rFonts w:hint="eastAsia" w:ascii="仿宋" w:hAnsi="仿宋" w:eastAsia="仿宋"/>
          <w:b w:val="0"/>
          <w:bCs w:val="0"/>
        </w:rPr>
        <w:t>八、</w:t>
      </w:r>
      <w:r>
        <w:rPr>
          <w:rFonts w:hint="eastAsia" w:ascii="仿宋" w:hAnsi="仿宋" w:eastAsia="仿宋"/>
          <w:b w:val="0"/>
          <w:color w:val="000000"/>
        </w:rPr>
        <w:t>一</w:t>
      </w:r>
      <w:r>
        <w:rPr>
          <w:rStyle w:val="28"/>
          <w:rFonts w:hint="eastAsia" w:ascii="仿宋" w:hAnsi="仿宋" w:eastAsia="仿宋"/>
          <w:b w:val="0"/>
          <w:bCs w:val="0"/>
        </w:rPr>
        <w:t>般公共预算财政拨款基本支出决算表</w:t>
      </w:r>
      <w:bookmarkEnd w:id="68"/>
    </w:p>
    <w:p>
      <w:pPr>
        <w:pStyle w:val="3"/>
        <w:rPr>
          <w:rFonts w:ascii="仿宋" w:hAnsi="仿宋" w:eastAsia="仿宋"/>
          <w:color w:val="000000"/>
        </w:rPr>
      </w:pPr>
      <w:bookmarkStart w:id="69" w:name="_Toc15396627"/>
      <w:r>
        <w:rPr>
          <w:rStyle w:val="28"/>
          <w:rFonts w:hint="eastAsia" w:ascii="仿宋" w:hAnsi="仿宋" w:eastAsia="仿宋"/>
          <w:b w:val="0"/>
          <w:bCs w:val="0"/>
        </w:rPr>
        <w:t>九、</w:t>
      </w:r>
      <w:r>
        <w:rPr>
          <w:rFonts w:hint="eastAsia" w:ascii="仿宋" w:hAnsi="仿宋" w:eastAsia="仿宋"/>
          <w:b w:val="0"/>
          <w:color w:val="000000"/>
        </w:rPr>
        <w:t>一</w:t>
      </w:r>
      <w:r>
        <w:rPr>
          <w:rStyle w:val="28"/>
          <w:rFonts w:hint="eastAsia" w:ascii="仿宋" w:hAnsi="仿宋" w:eastAsia="仿宋"/>
          <w:b w:val="0"/>
          <w:bCs w:val="0"/>
        </w:rPr>
        <w:t>般公共预算财政拨款项目支出决算表</w:t>
      </w:r>
      <w:bookmarkEnd w:id="69"/>
    </w:p>
    <w:p>
      <w:pPr>
        <w:pStyle w:val="3"/>
        <w:rPr>
          <w:rFonts w:ascii="仿宋" w:hAnsi="仿宋" w:eastAsia="仿宋"/>
          <w:color w:val="000000"/>
        </w:rPr>
      </w:pPr>
      <w:bookmarkStart w:id="70" w:name="_Toc15396628"/>
      <w:r>
        <w:rPr>
          <w:rStyle w:val="28"/>
          <w:rFonts w:hint="eastAsia" w:ascii="仿宋" w:hAnsi="仿宋" w:eastAsia="仿宋"/>
          <w:b w:val="0"/>
          <w:bCs w:val="0"/>
        </w:rPr>
        <w:t>十、</w:t>
      </w:r>
      <w:r>
        <w:rPr>
          <w:rFonts w:hint="eastAsia" w:ascii="仿宋" w:hAnsi="仿宋" w:eastAsia="仿宋"/>
          <w:b w:val="0"/>
          <w:color w:val="000000"/>
        </w:rPr>
        <w:t>一</w:t>
      </w:r>
      <w:r>
        <w:rPr>
          <w:rStyle w:val="28"/>
          <w:rFonts w:hint="eastAsia" w:ascii="仿宋" w:hAnsi="仿宋" w:eastAsia="仿宋"/>
          <w:b w:val="0"/>
          <w:bCs w:val="0"/>
        </w:rPr>
        <w:t>般公共预算财政拨款“三公”经费支出决算表</w:t>
      </w:r>
      <w:bookmarkEnd w:id="70"/>
    </w:p>
    <w:p>
      <w:pPr>
        <w:pStyle w:val="3"/>
        <w:rPr>
          <w:rFonts w:ascii="仿宋" w:hAnsi="仿宋" w:eastAsia="仿宋"/>
          <w:color w:val="000000"/>
        </w:rPr>
      </w:pPr>
      <w:bookmarkStart w:id="71" w:name="_Toc15396629"/>
      <w:r>
        <w:rPr>
          <w:rStyle w:val="28"/>
          <w:rFonts w:hint="eastAsia" w:ascii="仿宋" w:hAnsi="仿宋" w:eastAsia="仿宋"/>
          <w:b w:val="0"/>
          <w:bCs w:val="0"/>
        </w:rPr>
        <w:t>十一、</w:t>
      </w:r>
      <w:r>
        <w:rPr>
          <w:rFonts w:hint="eastAsia" w:ascii="仿宋" w:hAnsi="仿宋" w:eastAsia="仿宋"/>
          <w:b w:val="0"/>
          <w:color w:val="000000"/>
        </w:rPr>
        <w:t>政</w:t>
      </w:r>
      <w:r>
        <w:rPr>
          <w:rStyle w:val="28"/>
          <w:rFonts w:hint="eastAsia" w:ascii="仿宋" w:hAnsi="仿宋" w:eastAsia="仿宋"/>
          <w:b w:val="0"/>
          <w:bCs w:val="0"/>
        </w:rPr>
        <w:t>府性基金预算财政拨款收入支出决算表</w:t>
      </w:r>
      <w:bookmarkEnd w:id="71"/>
    </w:p>
    <w:p>
      <w:pPr>
        <w:pStyle w:val="3"/>
        <w:rPr>
          <w:rFonts w:ascii="仿宋" w:hAnsi="仿宋" w:eastAsia="仿宋"/>
          <w:color w:val="000000"/>
        </w:rPr>
      </w:pPr>
      <w:bookmarkStart w:id="72" w:name="_Toc15396630"/>
      <w:r>
        <w:rPr>
          <w:rStyle w:val="28"/>
          <w:rFonts w:hint="eastAsia" w:ascii="仿宋" w:hAnsi="仿宋" w:eastAsia="仿宋"/>
          <w:b w:val="0"/>
          <w:bCs w:val="0"/>
        </w:rPr>
        <w:t>十二、</w:t>
      </w:r>
      <w:r>
        <w:rPr>
          <w:rFonts w:hint="eastAsia" w:ascii="仿宋" w:hAnsi="仿宋" w:eastAsia="仿宋"/>
          <w:b w:val="0"/>
          <w:color w:val="000000"/>
        </w:rPr>
        <w:t>政</w:t>
      </w:r>
      <w:r>
        <w:rPr>
          <w:rStyle w:val="28"/>
          <w:rFonts w:hint="eastAsia" w:ascii="仿宋" w:hAnsi="仿宋" w:eastAsia="仿宋"/>
          <w:b w:val="0"/>
          <w:bCs w:val="0"/>
        </w:rPr>
        <w:t>府性基金预算财政拨款“三公”经费支出决算表</w:t>
      </w:r>
      <w:bookmarkEnd w:id="72"/>
    </w:p>
    <w:p>
      <w:pPr>
        <w:pStyle w:val="3"/>
        <w:rPr>
          <w:rFonts w:ascii="仿宋" w:hAnsi="仿宋" w:eastAsia="仿宋"/>
          <w:color w:val="000000" w:themeColor="text1"/>
        </w:rPr>
      </w:pPr>
      <w:bookmarkStart w:id="73" w:name="_Toc15396631"/>
      <w:r>
        <w:rPr>
          <w:rStyle w:val="28"/>
          <w:rFonts w:hint="eastAsia" w:ascii="仿宋" w:hAnsi="仿宋" w:eastAsia="仿宋"/>
          <w:b w:val="0"/>
          <w:bCs w:val="0"/>
        </w:rPr>
        <w:t>十三、</w:t>
      </w:r>
      <w:r>
        <w:rPr>
          <w:rFonts w:hint="eastAsia" w:ascii="仿宋" w:hAnsi="仿宋" w:eastAsia="仿宋"/>
          <w:b w:val="0"/>
          <w:color w:val="000000"/>
        </w:rPr>
        <w:t>国</w:t>
      </w:r>
      <w:r>
        <w:rPr>
          <w:rStyle w:val="28"/>
          <w:rFonts w:hint="eastAsia" w:ascii="仿宋" w:hAnsi="仿宋" w:eastAsia="仿宋"/>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5</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52F9520D"/>
    <w:multiLevelType w:val="multilevel"/>
    <w:tmpl w:val="52F9520D"/>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4"/>
  </w:num>
  <w:num w:numId="2">
    <w:abstractNumId w:val="1"/>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6487A"/>
    <w:rsid w:val="00065F8F"/>
    <w:rsid w:val="000768F2"/>
    <w:rsid w:val="0009184B"/>
    <w:rsid w:val="0009593C"/>
    <w:rsid w:val="00097CDA"/>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D2765"/>
    <w:rsid w:val="002F1818"/>
    <w:rsid w:val="002F567B"/>
    <w:rsid w:val="003216A9"/>
    <w:rsid w:val="0037013F"/>
    <w:rsid w:val="00380C92"/>
    <w:rsid w:val="00381C1D"/>
    <w:rsid w:val="003A114B"/>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37AE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348BA"/>
    <w:rsid w:val="005664BB"/>
    <w:rsid w:val="0057481D"/>
    <w:rsid w:val="0058486E"/>
    <w:rsid w:val="005D1C8B"/>
    <w:rsid w:val="005D5CED"/>
    <w:rsid w:val="005F1A4C"/>
    <w:rsid w:val="00605688"/>
    <w:rsid w:val="006070AF"/>
    <w:rsid w:val="00607E6C"/>
    <w:rsid w:val="006101B1"/>
    <w:rsid w:val="00614E44"/>
    <w:rsid w:val="006172B1"/>
    <w:rsid w:val="00622830"/>
    <w:rsid w:val="00630AEF"/>
    <w:rsid w:val="006325F8"/>
    <w:rsid w:val="00634C9A"/>
    <w:rsid w:val="006440E4"/>
    <w:rsid w:val="0066343B"/>
    <w:rsid w:val="00664777"/>
    <w:rsid w:val="006748A4"/>
    <w:rsid w:val="00683E73"/>
    <w:rsid w:val="006A3141"/>
    <w:rsid w:val="006A5E34"/>
    <w:rsid w:val="006A725C"/>
    <w:rsid w:val="006B2422"/>
    <w:rsid w:val="006B2B9A"/>
    <w:rsid w:val="006C1937"/>
    <w:rsid w:val="006F020C"/>
    <w:rsid w:val="007127B7"/>
    <w:rsid w:val="007416B6"/>
    <w:rsid w:val="00746F48"/>
    <w:rsid w:val="0075404D"/>
    <w:rsid w:val="0076182A"/>
    <w:rsid w:val="00762059"/>
    <w:rsid w:val="00767B7E"/>
    <w:rsid w:val="007770C3"/>
    <w:rsid w:val="00784D24"/>
    <w:rsid w:val="00785FBA"/>
    <w:rsid w:val="00786E4A"/>
    <w:rsid w:val="007875EB"/>
    <w:rsid w:val="0079426B"/>
    <w:rsid w:val="007C1D29"/>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96EA9"/>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47573"/>
    <w:rsid w:val="00951248"/>
    <w:rsid w:val="0095152F"/>
    <w:rsid w:val="00954C49"/>
    <w:rsid w:val="00963158"/>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0083"/>
    <w:rsid w:val="00AC3C6A"/>
    <w:rsid w:val="00AD5620"/>
    <w:rsid w:val="00AD7C1B"/>
    <w:rsid w:val="00AE16BA"/>
    <w:rsid w:val="00AE1EBE"/>
    <w:rsid w:val="00AF34DF"/>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009E8"/>
    <w:rsid w:val="00D20620"/>
    <w:rsid w:val="00D26091"/>
    <w:rsid w:val="00D33098"/>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07FEC"/>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0B1067"/>
    <w:rsid w:val="016411CF"/>
    <w:rsid w:val="03265399"/>
    <w:rsid w:val="096B6A39"/>
    <w:rsid w:val="09C80E33"/>
    <w:rsid w:val="0A01174A"/>
    <w:rsid w:val="0A420882"/>
    <w:rsid w:val="0DE90718"/>
    <w:rsid w:val="10C055FF"/>
    <w:rsid w:val="16BB723D"/>
    <w:rsid w:val="193E2731"/>
    <w:rsid w:val="1A314AC9"/>
    <w:rsid w:val="1A8623EA"/>
    <w:rsid w:val="1B3D54E6"/>
    <w:rsid w:val="1D6E75F6"/>
    <w:rsid w:val="1FFF2C19"/>
    <w:rsid w:val="240371BF"/>
    <w:rsid w:val="26B85A71"/>
    <w:rsid w:val="28090B39"/>
    <w:rsid w:val="29FD04D3"/>
    <w:rsid w:val="2B9F671C"/>
    <w:rsid w:val="2C803D25"/>
    <w:rsid w:val="318E7C3F"/>
    <w:rsid w:val="319F7F4E"/>
    <w:rsid w:val="345F1CC7"/>
    <w:rsid w:val="3A9F69DF"/>
    <w:rsid w:val="3C984AB0"/>
    <w:rsid w:val="3F3C440C"/>
    <w:rsid w:val="449744B8"/>
    <w:rsid w:val="4F455040"/>
    <w:rsid w:val="59607C21"/>
    <w:rsid w:val="59D2202F"/>
    <w:rsid w:val="5C78236E"/>
    <w:rsid w:val="64B05727"/>
    <w:rsid w:val="69B0571D"/>
    <w:rsid w:val="7A6411EF"/>
    <w:rsid w:val="7CE67147"/>
    <w:rsid w:val="7DA218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30"/>
    <w:semiHidden/>
    <w:unhideWhenUsed/>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15">
    <w:name w:val="Strong"/>
    <w:basedOn w:val="14"/>
    <w:qFormat/>
    <w:uiPriority w:val="99"/>
    <w:rPr>
      <w:b/>
    </w:rPr>
  </w:style>
  <w:style w:type="character" w:styleId="16">
    <w:name w:val="FollowedHyperlink"/>
    <w:basedOn w:val="14"/>
    <w:semiHidden/>
    <w:unhideWhenUsed/>
    <w:qFormat/>
    <w:uiPriority w:val="99"/>
    <w:rPr>
      <w:color w:val="333333"/>
      <w:u w:val="none"/>
    </w:rPr>
  </w:style>
  <w:style w:type="character" w:styleId="17">
    <w:name w:val="Emphasis"/>
    <w:basedOn w:val="14"/>
    <w:qFormat/>
    <w:uiPriority w:val="20"/>
    <w:rPr>
      <w:rFonts w:hint="eastAsia" w:ascii="微软雅黑" w:hAnsi="微软雅黑" w:eastAsia="微软雅黑" w:cs="微软雅黑"/>
    </w:rPr>
  </w:style>
  <w:style w:type="character" w:styleId="18">
    <w:name w:val="Hyperlink"/>
    <w:basedOn w:val="14"/>
    <w:unhideWhenUsed/>
    <w:qFormat/>
    <w:uiPriority w:val="99"/>
    <w:rPr>
      <w:color w:val="0000FF" w:themeColor="hyperlink"/>
      <w:u w:val="single"/>
    </w:rPr>
  </w:style>
  <w:style w:type="character" w:customStyle="1" w:styleId="19">
    <w:name w:val="Header Char"/>
    <w:basedOn w:val="14"/>
    <w:semiHidden/>
    <w:qFormat/>
    <w:uiPriority w:val="99"/>
    <w:rPr>
      <w:rFonts w:ascii="Times New Roman" w:hAnsi="Times New Roman"/>
      <w:sz w:val="18"/>
      <w:szCs w:val="18"/>
    </w:rPr>
  </w:style>
  <w:style w:type="character" w:customStyle="1" w:styleId="20">
    <w:name w:val="页眉 Char"/>
    <w:link w:val="9"/>
    <w:semiHidden/>
    <w:qFormat/>
    <w:locked/>
    <w:uiPriority w:val="99"/>
    <w:rPr>
      <w:sz w:val="18"/>
    </w:rPr>
  </w:style>
  <w:style w:type="character" w:customStyle="1" w:styleId="21">
    <w:name w:val="Footer Char"/>
    <w:basedOn w:val="14"/>
    <w:semiHidden/>
    <w:qFormat/>
    <w:uiPriority w:val="99"/>
    <w:rPr>
      <w:rFonts w:ascii="Times New Roman" w:hAnsi="Times New Roman"/>
      <w:sz w:val="18"/>
      <w:szCs w:val="18"/>
    </w:rPr>
  </w:style>
  <w:style w:type="character" w:customStyle="1" w:styleId="22">
    <w:name w:val="页脚 Char"/>
    <w:link w:val="8"/>
    <w:qFormat/>
    <w:locked/>
    <w:uiPriority w:val="99"/>
    <w:rPr>
      <w:sz w:val="18"/>
    </w:rPr>
  </w:style>
  <w:style w:type="character" w:customStyle="1" w:styleId="23">
    <w:name w:val="Body Text Char"/>
    <w:basedOn w:val="14"/>
    <w:semiHidden/>
    <w:qFormat/>
    <w:uiPriority w:val="99"/>
    <w:rPr>
      <w:rFonts w:ascii="Times New Roman" w:hAnsi="Times New Roman"/>
      <w:szCs w:val="24"/>
    </w:rPr>
  </w:style>
  <w:style w:type="character" w:customStyle="1" w:styleId="24">
    <w:name w:val="正文文本 Char"/>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4"/>
    <w:link w:val="2"/>
    <w:qFormat/>
    <w:uiPriority w:val="9"/>
    <w:rPr>
      <w:rFonts w:ascii="Times New Roman" w:hAnsi="Times New Roman"/>
      <w:b/>
      <w:bCs/>
      <w:kern w:val="44"/>
      <w:sz w:val="44"/>
      <w:szCs w:val="44"/>
    </w:rPr>
  </w:style>
  <w:style w:type="character" w:customStyle="1" w:styleId="28">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4"/>
    <w:link w:val="7"/>
    <w:semiHidden/>
    <w:qFormat/>
    <w:uiPriority w:val="99"/>
    <w:rPr>
      <w:rFonts w:ascii="Times New Roman" w:hAnsi="Times New Roman"/>
      <w:kern w:val="2"/>
      <w:sz w:val="18"/>
      <w:szCs w:val="18"/>
    </w:rPr>
  </w:style>
  <w:style w:type="character" w:customStyle="1" w:styleId="31">
    <w:name w:val="标题 3 Char"/>
    <w:basedOn w:val="14"/>
    <w:link w:val="4"/>
    <w:qFormat/>
    <w:uiPriority w:val="9"/>
    <w:rPr>
      <w:rFonts w:ascii="Times New Roman" w:hAnsi="Times New Roman"/>
      <w:b/>
      <w:bCs/>
      <w:kern w:val="2"/>
      <w:sz w:val="32"/>
      <w:szCs w:val="32"/>
    </w:rPr>
  </w:style>
  <w:style w:type="character" w:customStyle="1" w:styleId="32">
    <w:name w:val="after"/>
    <w:basedOn w:val="14"/>
    <w:qFormat/>
    <w:uiPriority w:val="0"/>
    <w:rPr>
      <w:shd w:val="clear" w:fill="FFFFFF"/>
    </w:rPr>
  </w:style>
  <w:style w:type="character" w:customStyle="1" w:styleId="33">
    <w:name w:val="last"/>
    <w:basedOn w:val="14"/>
    <w:qFormat/>
    <w:uiPriority w:val="0"/>
  </w:style>
  <w:style w:type="character" w:customStyle="1" w:styleId="34">
    <w:name w:val="hover20"/>
    <w:basedOn w:val="14"/>
    <w:qFormat/>
    <w:uiPriority w:val="0"/>
    <w:rPr>
      <w:color w:val="000000"/>
      <w:shd w:val="clear" w:fill="FFFFFF"/>
    </w:rPr>
  </w:style>
  <w:style w:type="character" w:customStyle="1" w:styleId="35">
    <w:name w:val="wx-space"/>
    <w:basedOn w:val="14"/>
    <w:qFormat/>
    <w:uiPriority w:val="0"/>
  </w:style>
  <w:style w:type="character" w:customStyle="1" w:styleId="36">
    <w:name w:val="wx-space1"/>
    <w:basedOn w:val="14"/>
    <w:qFormat/>
    <w:uiPriority w:val="0"/>
  </w:style>
  <w:style w:type="character" w:customStyle="1" w:styleId="37">
    <w:name w:val="text"/>
    <w:basedOn w:val="14"/>
    <w:qFormat/>
    <w:uiPriority w:val="0"/>
    <w:rPr>
      <w:color w:val="666666"/>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zh-CN" sz="1400"/>
              <a:t>收、支决算总计变动情况图</a:t>
            </a:r>
            <a:endParaRPr lang="zh-CN" sz="1400"/>
          </a:p>
        </c:rich>
      </c:tx>
      <c:layout>
        <c:manualLayout>
          <c:xMode val="edge"/>
          <c:yMode val="edge"/>
          <c:x val="0.242535315768584"/>
          <c:y val="0.0112727272727273"/>
        </c:manualLayout>
      </c:layout>
      <c:overlay val="0"/>
    </c:title>
    <c:autoTitleDeleted val="0"/>
    <c:plotArea>
      <c:layout>
        <c:manualLayout>
          <c:layoutTarget val="inner"/>
          <c:xMode val="edge"/>
          <c:yMode val="edge"/>
          <c:x val="0.0908383078120945"/>
          <c:y val="0.154545454545455"/>
          <c:w val="0.905268621853102"/>
          <c:h val="0.68698347107438"/>
        </c:manualLayout>
      </c:layout>
      <c:barChart>
        <c:barDir val="col"/>
        <c:grouping val="clustered"/>
        <c:varyColors val="0"/>
        <c:ser>
          <c:idx val="0"/>
          <c:order val="0"/>
          <c:tx>
            <c:strRef>
              <c:f>Sheet1!$B$1</c:f>
              <c:strCache>
                <c:ptCount val="1"/>
                <c:pt idx="0">
                  <c:v>2018年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财政拨款收入总计</c:v>
                </c:pt>
                <c:pt idx="1">
                  <c:v>财政拨款支出总计</c:v>
                </c:pt>
              </c:strCache>
            </c:strRef>
          </c:cat>
          <c:val>
            <c:numRef>
              <c:f>Sheet1!$B$2:$B$3</c:f>
              <c:numCache>
                <c:formatCode>General</c:formatCode>
                <c:ptCount val="2"/>
                <c:pt idx="0">
                  <c:v>125.66</c:v>
                </c:pt>
                <c:pt idx="1">
                  <c:v>125.66</c:v>
                </c:pt>
              </c:numCache>
            </c:numRef>
          </c:val>
        </c:ser>
        <c:ser>
          <c:idx val="1"/>
          <c:order val="1"/>
          <c:tx>
            <c:strRef>
              <c:f>Sheet1!$C$1</c:f>
              <c:strCache>
                <c:ptCount val="1"/>
                <c:pt idx="0">
                  <c:v>2017年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财政拨款收入总计</c:v>
                </c:pt>
                <c:pt idx="1">
                  <c:v>财政拨款支出总计</c:v>
                </c:pt>
              </c:strCache>
            </c:strRef>
          </c:cat>
          <c:val>
            <c:numRef>
              <c:f>Sheet1!$C$2:$C$3</c:f>
              <c:numCache>
                <c:formatCode>General</c:formatCode>
                <c:ptCount val="2"/>
                <c:pt idx="0">
                  <c:v>125.22</c:v>
                </c:pt>
                <c:pt idx="1">
                  <c:v>125.22</c:v>
                </c:pt>
              </c:numCache>
            </c:numRef>
          </c:val>
        </c:ser>
        <c:ser>
          <c:idx val="2"/>
          <c:order val="2"/>
          <c:tx>
            <c:strRef>
              <c:f>Sheet1!#REF!</c:f>
              <c:strCache>
                <c:ptCount val="1"/>
                <c:pt idx="0">
                  <c:v>#REF!</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财政拨款收入总计</c:v>
                </c:pt>
                <c:pt idx="1">
                  <c:v>财政拨款支出总计</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103710720"/>
        <c:axId val="103713408"/>
      </c:barChart>
      <c:catAx>
        <c:axId val="10371072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3713408"/>
        <c:crosses val="autoZero"/>
        <c:auto val="1"/>
        <c:lblAlgn val="ctr"/>
        <c:lblOffset val="100"/>
        <c:noMultiLvlLbl val="0"/>
      </c:catAx>
      <c:valAx>
        <c:axId val="1037134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3710720"/>
        <c:crosses val="autoZero"/>
        <c:crossBetween val="between"/>
      </c:valAx>
    </c:plotArea>
    <c:legend>
      <c:legendPos val="b"/>
      <c:legendEntry>
        <c:idx val="2"/>
        <c:delete val="1"/>
      </c:legendEntry>
      <c:layout>
        <c:manualLayout>
          <c:xMode val="edge"/>
          <c:yMode val="edge"/>
          <c:x val="0.392291720737088"/>
          <c:y val="0.88919925512104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收入决算结构图</a:t>
            </a:r>
            <a:endParaRPr lang="zh-CN" altLang="en-US"/>
          </a:p>
        </c:rich>
      </c:tx>
      <c:layout/>
      <c:overlay val="0"/>
    </c:title>
    <c:autoTitleDeleted val="0"/>
    <c:plotArea>
      <c:layout/>
      <c:pieChart>
        <c:varyColors val="1"/>
        <c:ser>
          <c:idx val="0"/>
          <c:order val="0"/>
          <c:tx>
            <c:strRef>
              <c:f>Sheet1!$B$1</c:f>
              <c:strCache>
                <c:ptCount val="1"/>
                <c:pt idx="0">
                  <c:v>销售额</c:v>
                </c:pt>
              </c:strCache>
            </c:strRef>
          </c:tx>
          <c:explosion val="0"/>
          <c:dPt>
            <c:idx val="0"/>
            <c:bubble3D val="0"/>
          </c:dPt>
          <c:dLbls>
            <c:dLbl>
              <c:idx val="0"/>
              <c:layout>
                <c:manualLayout>
                  <c:x val="0.607735587223405"/>
                  <c:y val="0.047838327972987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c:f>
              <c:strCache>
                <c:ptCount val="1"/>
                <c:pt idx="0">
                  <c:v>一般公共预算财政拨款收入</c:v>
                </c:pt>
              </c:strCache>
            </c:strRef>
          </c:cat>
          <c:val>
            <c:numRef>
              <c:f>Sheet1!$B$2</c:f>
              <c:numCache>
                <c:formatCode>General</c:formatCode>
                <c:ptCount val="1"/>
                <c:pt idx="0">
                  <c:v>110.17</c:v>
                </c:pt>
              </c:numCache>
            </c:numRef>
          </c:val>
        </c:ser>
        <c:dLbls>
          <c:showLegendKey val="0"/>
          <c:showVal val="0"/>
          <c:showCatName val="1"/>
          <c:showSerName val="0"/>
          <c:showPercent val="1"/>
          <c:showBubbleSize val="0"/>
          <c:showLeaderLines val="1"/>
        </c:dLbls>
        <c:firstSliceAng val="57"/>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chemeClr val="tx1"/>
      </a:solid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t>支出决算结构图</a:t>
            </a:r>
            <a:endParaRPr lang="zh-CN" altLang="en-US"/>
          </a:p>
        </c:rich>
      </c:tx>
      <c:layout/>
      <c:overlay val="0"/>
    </c:title>
    <c:autoTitleDeleted val="0"/>
    <c:plotArea>
      <c:layout/>
      <c:pieChart>
        <c:varyColors val="1"/>
        <c:ser>
          <c:idx val="0"/>
          <c:order val="0"/>
          <c:tx>
            <c:strRef>
              <c:f>Sheet1!$B$1</c:f>
              <c:strCache>
                <c:ptCount val="1"/>
                <c:pt idx="0">
                  <c:v>销售额</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87.57</c:v>
                </c:pt>
                <c:pt idx="1">
                  <c:v>23.18</c:v>
                </c:pt>
              </c:numCache>
            </c:numRef>
          </c:val>
        </c:ser>
        <c:dLbls>
          <c:showLegendKey val="0"/>
          <c:showVal val="0"/>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ysClr val="windowText" lastClr="000000"/>
      </a:solid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altLang="zh-CN"/>
              <a:t>财政拨款收、支决算总计变动表</a:t>
            </a:r>
            <a:endParaRPr altLang="zh-CN"/>
          </a:p>
        </c:rich>
      </c:tx>
      <c:layout/>
      <c:overlay val="0"/>
    </c:title>
    <c:autoTitleDeleted val="0"/>
    <c:plotArea>
      <c:layout>
        <c:manualLayout>
          <c:layoutTarget val="inner"/>
          <c:xMode val="edge"/>
          <c:yMode val="edge"/>
          <c:x val="0.0829615338237067"/>
          <c:y val="0.250821692686935"/>
          <c:w val="0.550705414204751"/>
          <c:h val="0.641125718981101"/>
        </c:manualLayout>
      </c:layout>
      <c:barChart>
        <c:barDir val="col"/>
        <c:grouping val="clustered"/>
        <c:varyColors val="0"/>
        <c:ser>
          <c:idx val="0"/>
          <c:order val="0"/>
          <c:tx>
            <c:strRef>
              <c:f>Sheet1!$B$2</c:f>
              <c:strCache>
                <c:ptCount val="1"/>
                <c:pt idx="0">
                  <c:v>财政拨款收入总计</c:v>
                </c:pt>
              </c:strCache>
            </c:strRef>
          </c:tx>
          <c:invertIfNegative val="0"/>
          <c:dLbls>
            <c:dLbl>
              <c:idx val="1"/>
              <c:layout>
                <c:manualLayout>
                  <c:x val="-0.0163686382393398"/>
                  <c:y val="0.039507439712673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Sheet1!$A$3:$A$4</c:f>
              <c:strCache>
                <c:ptCount val="2"/>
                <c:pt idx="0">
                  <c:v>2018年</c:v>
                </c:pt>
                <c:pt idx="1">
                  <c:v>2017年</c:v>
                </c:pt>
              </c:strCache>
            </c:strRef>
          </c:cat>
          <c:val>
            <c:numRef>
              <c:f>Sheet1!$B$3:$B$4</c:f>
              <c:numCache>
                <c:formatCode>General</c:formatCode>
                <c:ptCount val="2"/>
                <c:pt idx="0">
                  <c:v>125.66</c:v>
                </c:pt>
                <c:pt idx="1">
                  <c:v>125.22</c:v>
                </c:pt>
              </c:numCache>
            </c:numRef>
          </c:val>
        </c:ser>
        <c:ser>
          <c:idx val="1"/>
          <c:order val="1"/>
          <c:tx>
            <c:strRef>
              <c:f>Sheet1!$C$2</c:f>
              <c:strCache>
                <c:ptCount val="1"/>
                <c:pt idx="0">
                  <c:v>财政拨款支出总计</c:v>
                </c:pt>
              </c:strCache>
            </c:strRef>
          </c:tx>
          <c:invertIfNegative val="0"/>
          <c:dLbls>
            <c:dLbl>
              <c:idx val="1"/>
              <c:layout>
                <c:manualLayout>
                  <c:x val="0.0349381017881706"/>
                  <c:y val="0.021806054386865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Sheet1!$A$3:$A$4</c:f>
              <c:strCache>
                <c:ptCount val="2"/>
                <c:pt idx="0">
                  <c:v>2018年</c:v>
                </c:pt>
                <c:pt idx="1">
                  <c:v>2017年</c:v>
                </c:pt>
              </c:strCache>
            </c:strRef>
          </c:cat>
          <c:val>
            <c:numRef>
              <c:f>Sheet1!$C$3:$C$4</c:f>
              <c:numCache>
                <c:formatCode>General</c:formatCode>
                <c:ptCount val="2"/>
                <c:pt idx="0">
                  <c:v>125.66</c:v>
                </c:pt>
                <c:pt idx="1">
                  <c:v>125.22</c:v>
                </c:pt>
              </c:numCache>
            </c:numRef>
          </c:val>
        </c:ser>
        <c:dLbls>
          <c:showLegendKey val="0"/>
          <c:showVal val="1"/>
          <c:showCatName val="0"/>
          <c:showSerName val="0"/>
          <c:showPercent val="0"/>
          <c:showBubbleSize val="0"/>
        </c:dLbls>
        <c:gapWidth val="150"/>
        <c:axId val="144177024"/>
        <c:axId val="148650240"/>
      </c:barChart>
      <c:catAx>
        <c:axId val="144177024"/>
        <c:scaling>
          <c:orientation val="minMax"/>
        </c:scaling>
        <c:delete val="0"/>
        <c:axPos val="b"/>
        <c:majorTickMark val="out"/>
        <c:minorTickMark val="none"/>
        <c:tickLblPos val="nextTo"/>
        <c:txPr>
          <a:bodyPr rot="-60000000" spcFirstLastPara="0" vertOverflow="ellipsis" vert="horz" wrap="square" anchor="ctr" anchorCtr="1"/>
          <a:lstStyle/>
          <a:p>
            <a:pPr algn="l">
              <a:defRPr lang="zh-CN" sz="1000" b="0" i="0" u="none" strike="noStrike" kern="1200" baseline="0">
                <a:solidFill>
                  <a:schemeClr val="tx1"/>
                </a:solidFill>
                <a:latin typeface="+mn-lt"/>
                <a:ea typeface="+mn-ea"/>
                <a:cs typeface="+mn-cs"/>
              </a:defRPr>
            </a:pPr>
          </a:p>
        </c:txPr>
        <c:crossAx val="148650240"/>
        <c:crosses val="autoZero"/>
        <c:auto val="1"/>
        <c:lblAlgn val="ctr"/>
        <c:lblOffset val="100"/>
        <c:noMultiLvlLbl val="0"/>
      </c:catAx>
      <c:valAx>
        <c:axId val="1486502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4177024"/>
        <c:crosses val="autoZero"/>
        <c:crossBetween val="between"/>
      </c:valAx>
      <c:spPr>
        <a:noFill/>
        <a:ln w="25400">
          <a:noFill/>
        </a:ln>
      </c:spPr>
    </c:plotArea>
    <c:legend>
      <c:legendPos val="r"/>
      <c:layout/>
      <c:overlay val="0"/>
      <c:txPr>
        <a:bodyPr rot="0" spcFirstLastPara="0" vertOverflow="ellipsis" vert="horz" wrap="square" anchor="ctr" anchorCtr="1"/>
        <a:lstStyle/>
        <a:p>
          <a:pPr>
            <a:defRPr lang="zh-CN" sz="14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chemeClr val="tx1"/>
      </a:solidFill>
      <a:prstDash val="solid"/>
      <a:round/>
    </a:ln>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145044610561852"/>
          <c:y val="0.190838126540674"/>
          <c:w val="0.547142512659754"/>
          <c:h val="0.715488907148726"/>
        </c:manualLayout>
      </c:layout>
      <c:barChart>
        <c:barDir val="col"/>
        <c:grouping val="clustered"/>
        <c:varyColors val="0"/>
        <c:ser>
          <c:idx val="0"/>
          <c:order val="0"/>
          <c:tx>
            <c:strRef>
              <c:f>Sheet1!$B$1</c:f>
              <c:strCache>
                <c:ptCount val="1"/>
                <c:pt idx="0">
                  <c:v>一般公共预算财政拨款支出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2018年</c:v>
                </c:pt>
                <c:pt idx="1">
                  <c:v>2017年</c:v>
                </c:pt>
              </c:strCache>
            </c:strRef>
          </c:cat>
          <c:val>
            <c:numRef>
              <c:f>Sheet1!$B$2:$B$4</c:f>
              <c:numCache>
                <c:formatCode>General</c:formatCode>
                <c:ptCount val="3"/>
                <c:pt idx="0">
                  <c:v>110.75</c:v>
                </c:pt>
                <c:pt idx="1">
                  <c:v>109.74</c:v>
                </c:pt>
              </c:numCache>
            </c:numRef>
          </c:val>
        </c:ser>
        <c:dLbls>
          <c:showLegendKey val="0"/>
          <c:showVal val="1"/>
          <c:showCatName val="0"/>
          <c:showSerName val="0"/>
          <c:showPercent val="0"/>
          <c:showBubbleSize val="0"/>
        </c:dLbls>
        <c:gapWidth val="150"/>
        <c:axId val="81621376"/>
        <c:axId val="81622912"/>
      </c:barChart>
      <c:catAx>
        <c:axId val="81621376"/>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1622912"/>
        <c:crosses val="autoZero"/>
        <c:auto val="1"/>
        <c:lblAlgn val="ctr"/>
        <c:lblOffset val="100"/>
        <c:noMultiLvlLbl val="0"/>
      </c:catAx>
      <c:valAx>
        <c:axId val="81622912"/>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162137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ysClr val="windowText" lastClr="000000"/>
      </a:solidFill>
      <a:prstDash val="solid"/>
      <a:round/>
    </a:ln>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17742712599374"/>
          <c:y val="0.0282415996701711"/>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 一般公共预算财政拨款支出决算结构图</c:v>
                </c:pt>
              </c:strCache>
            </c:strRef>
          </c:tx>
          <c:explosion val="0"/>
          <c:dPt>
            <c:idx val="0"/>
            <c:bubble3D val="0"/>
          </c:dPt>
          <c:dPt>
            <c:idx val="1"/>
            <c:bubble3D val="0"/>
          </c:dPt>
          <c:dPt>
            <c:idx val="2"/>
            <c:bubble3D val="0"/>
          </c:dPt>
          <c:dPt>
            <c:idx val="3"/>
            <c:bubble3D val="0"/>
          </c:dPt>
          <c:dLbls>
            <c:delete val="1"/>
          </c:dLbls>
          <c:cat>
            <c:strRef>
              <c:f>Sheet1!$A$2:$A$5</c:f>
              <c:strCache>
                <c:ptCount val="4"/>
                <c:pt idx="0">
                  <c:v>文化体育与传媒（类）81.76%</c:v>
                </c:pt>
                <c:pt idx="1">
                  <c:v>社会保障和就业（类）9.47%</c:v>
                </c:pt>
                <c:pt idx="2">
                  <c:v>医疗卫生（类）9.47%</c:v>
                </c:pt>
                <c:pt idx="3">
                  <c:v>住房保障（类）5.69%</c:v>
                </c:pt>
              </c:strCache>
            </c:strRef>
          </c:cat>
          <c:val>
            <c:numRef>
              <c:f>Sheet1!$B$2:$B$5</c:f>
              <c:numCache>
                <c:formatCode>General</c:formatCode>
                <c:ptCount val="4"/>
                <c:pt idx="0">
                  <c:v>90.55</c:v>
                </c:pt>
                <c:pt idx="1">
                  <c:v>10.49</c:v>
                </c:pt>
                <c:pt idx="2">
                  <c:v>3.41</c:v>
                </c:pt>
                <c:pt idx="3">
                  <c:v>6.3</c:v>
                </c:pt>
              </c:numCache>
            </c:numRef>
          </c:val>
        </c:ser>
        <c:dLbls>
          <c:showLegendKey val="0"/>
          <c:showVal val="0"/>
          <c:showCatName val="0"/>
          <c:showSerName val="0"/>
          <c:showPercent val="1"/>
          <c:showBubbleSize val="0"/>
          <c:showLeaderLines val="1"/>
        </c:dLbls>
        <c:firstSliceAng val="91"/>
      </c:pieChart>
    </c:plotArea>
    <c:legend>
      <c:legendPos val="r"/>
      <c:layout>
        <c:manualLayout>
          <c:xMode val="edge"/>
          <c:yMode val="edge"/>
          <c:x val="0.56109059336758"/>
          <c:y val="0.205992747650907"/>
          <c:w val="0.424454561992599"/>
          <c:h val="0.72158309087964"/>
        </c:manualLayout>
      </c:layout>
      <c:overlay val="0"/>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ysClr val="windowText" lastClr="000000"/>
      </a:solidFill>
      <a:prstDash val="solid"/>
      <a:round/>
    </a:ln>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explosion val="0"/>
          <c:dPt>
            <c:idx val="0"/>
            <c:bubble3D val="0"/>
          </c:dPt>
          <c:dPt>
            <c:idx val="1"/>
            <c:bubble3D val="0"/>
          </c:dPt>
          <c:dPt>
            <c:idx val="2"/>
            <c:bubble3D val="0"/>
          </c:dPt>
          <c:dLbls>
            <c:delete val="1"/>
          </c:dLbls>
          <c:cat>
            <c:strRef>
              <c:f>Sheet1!$A$2:$A$4</c:f>
              <c:strCache>
                <c:ptCount val="3"/>
                <c:pt idx="0">
                  <c:v>因公出国（境）费0%</c:v>
                </c:pt>
                <c:pt idx="1">
                  <c:v>公务用车购置及运行维护费0%</c:v>
                </c:pt>
                <c:pt idx="2">
                  <c:v>公务接待费100%</c:v>
                </c:pt>
              </c:strCache>
            </c:strRef>
          </c:cat>
          <c:val>
            <c:numRef>
              <c:f>Sheet1!$B$2:$B$4</c:f>
              <c:numCache>
                <c:formatCode>General</c:formatCode>
                <c:ptCount val="3"/>
                <c:pt idx="0">
                  <c:v>0</c:v>
                </c:pt>
                <c:pt idx="1">
                  <c:v>0</c:v>
                </c:pt>
                <c:pt idx="2">
                  <c:v>3.7</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1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chemeClr val="tx1"/>
      </a:solid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1FCBB7-94BB-4611-9479-6CDAC1B46E1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20</Pages>
  <Words>1345</Words>
  <Characters>7670</Characters>
  <Lines>63</Lines>
  <Paragraphs>17</Paragraphs>
  <TotalTime>2</TotalTime>
  <ScaleCrop>false</ScaleCrop>
  <LinksUpToDate>false</LinksUpToDate>
  <CharactersWithSpaces>8998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2019-09-24T01:37:00Z</dcterms:created>
  <dc:creator>张彬茜</dc:creator>
  <cp:lastModifiedBy>光辉芹儿</cp:lastModifiedBy>
  <cp:lastPrinted>2021-06-11T08:13:00Z</cp:lastPrinted>
  <dcterms:modified xsi:type="dcterms:W3CDTF">2021-06-16T05:28:14Z</dcterms:modified>
  <dc:title>四川省***</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DFC01E0A2E164586BA6696ADFA33FC8F</vt:lpwstr>
  </property>
</Properties>
</file>