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52"/>
          <w:szCs w:val="52"/>
        </w:rPr>
      </w:pPr>
    </w:p>
    <w:p>
      <w:pPr>
        <w:spacing w:line="600" w:lineRule="exact"/>
        <w:jc w:val="center"/>
        <w:outlineLvl w:val="0"/>
        <w:rPr>
          <w:rFonts w:ascii="方正小标宋简体" w:hAnsi="宋体" w:eastAsia="方正小标宋简体"/>
          <w:color w:val="000000"/>
          <w:sz w:val="52"/>
          <w:szCs w:val="5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6926"/>
      <w:bookmarkStart w:id="3" w:name="_Toc15377193"/>
      <w:bookmarkStart w:id="4" w:name="_Toc15396597"/>
      <w:bookmarkStart w:id="5" w:name="_Toc15377425"/>
      <w:bookmarkStart w:id="6"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7" w:name="_Toc15377194"/>
      <w:bookmarkStart w:id="8" w:name="_Toc15402"/>
      <w:bookmarkStart w:id="9" w:name="_Toc15378442"/>
      <w:bookmarkStart w:id="10" w:name="_Toc15306268"/>
      <w:bookmarkStart w:id="11" w:name="_Toc15396476"/>
      <w:bookmarkStart w:id="12" w:name="_Toc15396598"/>
      <w:bookmarkStart w:id="13" w:name="_Toc15377426"/>
      <w:r>
        <w:rPr>
          <w:rFonts w:hint="eastAsia" w:ascii="方正小标宋简体" w:hAnsi="宋体" w:eastAsia="方正小标宋简体"/>
          <w:color w:val="000000"/>
          <w:sz w:val="72"/>
          <w:szCs w:val="72"/>
          <w:lang w:eastAsia="zh-CN"/>
        </w:rPr>
        <w:t>开江县文化馆</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14" w:name="_Toc18042"/>
      <w:r>
        <w:rPr>
          <w:rFonts w:hint="eastAsia" w:ascii="方正小标宋简体" w:hAnsi="宋体" w:eastAsia="方正小标宋简体"/>
          <w:color w:val="000000"/>
          <w:sz w:val="72"/>
          <w:szCs w:val="72"/>
          <w:lang w:val="en-US" w:eastAsia="zh-CN"/>
        </w:rPr>
        <w:t>编制说明</w:t>
      </w:r>
      <w:bookmarkEnd w:id="14"/>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p>
    <w:p/>
    <w:sdt>
      <w:sdtPr>
        <w:rPr>
          <w:rFonts w:ascii="宋体" w:hAnsi="宋体" w:eastAsia="宋体" w:cs="Times New Roman"/>
          <w:b/>
          <w:bCs/>
          <w:kern w:val="2"/>
          <w:sz w:val="52"/>
          <w:szCs w:val="52"/>
          <w:lang w:val="en-US" w:eastAsia="zh-CN" w:bidi="ar-SA"/>
        </w:rPr>
        <w:id w:val="147472050"/>
        <w15:color w:val="DBDBDB"/>
        <w:docPartObj>
          <w:docPartGallery w:val="Table of Contents"/>
          <w:docPartUnique/>
        </w:docPartObj>
      </w:sdtPr>
      <w:sdtEndPr>
        <w:rPr>
          <w:rFonts w:ascii="Times New Roman" w:hAnsi="Times New Roman"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目录</w:t>
          </w:r>
        </w:p>
        <w:p>
          <w:pPr>
            <w:pStyle w:val="10"/>
            <w:tabs>
              <w:tab w:val="right" w:leader="dot" w:pos="8306"/>
              <w:tab w:val="clear" w:pos="8296"/>
            </w:tabs>
          </w:pPr>
          <w:r>
            <w:rPr>
              <w:rFonts w:hint="eastAsia"/>
              <w:sz w:val="32"/>
              <w:szCs w:val="32"/>
              <w:lang w:eastAsia="zh-CN"/>
            </w:rPr>
            <w:t>公开时间</w:t>
          </w:r>
          <w:r>
            <w:rPr>
              <w:rFonts w:hint="eastAsia"/>
              <w:sz w:val="32"/>
              <w:szCs w:val="32"/>
              <w:lang w:val="en-US" w:eastAsia="zh-CN"/>
            </w:rPr>
            <w:t>2019年9月20日</w:t>
          </w:r>
          <w:r>
            <w:fldChar w:fldCharType="begin"/>
          </w:r>
          <w:r>
            <w:instrText xml:space="preserve">TOC \o "1-3" \h \u </w:instrText>
          </w:r>
          <w:r>
            <w:fldChar w:fldCharType="separate"/>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_Toc30991 </w:instrText>
          </w:r>
          <w:r>
            <w:rPr>
              <w:sz w:val="30"/>
              <w:szCs w:val="30"/>
            </w:rPr>
            <w:fldChar w:fldCharType="separate"/>
          </w:r>
          <w:r>
            <w:rPr>
              <w:rFonts w:hint="eastAsia" w:ascii="黑体" w:hAnsi="黑体" w:eastAsia="黑体"/>
              <w:sz w:val="30"/>
              <w:szCs w:val="30"/>
            </w:rPr>
            <w:t xml:space="preserve">第一部分 </w:t>
          </w:r>
          <w:r>
            <w:rPr>
              <w:rFonts w:hint="eastAsia" w:ascii="黑体" w:hAnsi="黑体" w:eastAsia="黑体"/>
              <w:bCs w:val="0"/>
              <w:sz w:val="30"/>
              <w:szCs w:val="30"/>
            </w:rPr>
            <w:t>部门概况</w:t>
          </w:r>
          <w:r>
            <w:rPr>
              <w:sz w:val="30"/>
              <w:szCs w:val="30"/>
            </w:rPr>
            <w:tab/>
          </w:r>
          <w:r>
            <w:rPr>
              <w:sz w:val="30"/>
              <w:szCs w:val="30"/>
            </w:rPr>
            <w:fldChar w:fldCharType="begin"/>
          </w:r>
          <w:r>
            <w:rPr>
              <w:sz w:val="30"/>
              <w:szCs w:val="30"/>
            </w:rPr>
            <w:instrText xml:space="preserve"> PAGEREF _Toc30991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_Toc23923 </w:instrText>
          </w:r>
          <w:r>
            <w:rPr>
              <w:sz w:val="30"/>
              <w:szCs w:val="30"/>
            </w:rPr>
            <w:fldChar w:fldCharType="separate"/>
          </w:r>
          <w:r>
            <w:rPr>
              <w:rFonts w:hint="eastAsia" w:ascii="黑体" w:hAnsi="黑体" w:eastAsia="黑体"/>
              <w:sz w:val="30"/>
              <w:szCs w:val="30"/>
            </w:rPr>
            <w:t>一、基</w:t>
          </w:r>
          <w:r>
            <w:rPr>
              <w:rFonts w:hint="eastAsia" w:ascii="黑体" w:hAnsi="黑体" w:eastAsia="黑体"/>
              <w:bCs w:val="0"/>
              <w:sz w:val="30"/>
              <w:szCs w:val="30"/>
            </w:rPr>
            <w:t>本职能及主要工作</w:t>
          </w:r>
          <w:r>
            <w:rPr>
              <w:sz w:val="30"/>
              <w:szCs w:val="30"/>
            </w:rPr>
            <w:tab/>
          </w:r>
          <w:r>
            <w:rPr>
              <w:sz w:val="30"/>
              <w:szCs w:val="30"/>
            </w:rPr>
            <w:fldChar w:fldCharType="begin"/>
          </w:r>
          <w:r>
            <w:rPr>
              <w:sz w:val="30"/>
              <w:szCs w:val="30"/>
            </w:rPr>
            <w:instrText xml:space="preserve"> PAGEREF _Toc23923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_Toc3573 </w:instrText>
          </w:r>
          <w:r>
            <w:rPr>
              <w:sz w:val="30"/>
              <w:szCs w:val="30"/>
            </w:rPr>
            <w:fldChar w:fldCharType="separate"/>
          </w:r>
          <w:r>
            <w:rPr>
              <w:rFonts w:hint="eastAsia" w:ascii="黑体" w:eastAsia="黑体"/>
              <w:sz w:val="30"/>
              <w:szCs w:val="30"/>
            </w:rPr>
            <w:t>二、</w:t>
          </w:r>
          <w:r>
            <w:rPr>
              <w:rFonts w:hint="eastAsia" w:ascii="黑体" w:hAnsi="黑体" w:eastAsia="黑体"/>
              <w:sz w:val="30"/>
              <w:szCs w:val="30"/>
            </w:rPr>
            <w:t>机</w:t>
          </w:r>
          <w:r>
            <w:rPr>
              <w:rFonts w:hint="eastAsia" w:ascii="黑体" w:hAnsi="黑体" w:eastAsia="黑体"/>
              <w:bCs w:val="0"/>
              <w:sz w:val="30"/>
              <w:szCs w:val="30"/>
            </w:rPr>
            <w:t>构设置</w:t>
          </w:r>
          <w:r>
            <w:rPr>
              <w:sz w:val="30"/>
              <w:szCs w:val="30"/>
            </w:rPr>
            <w:tab/>
          </w:r>
          <w:r>
            <w:rPr>
              <w:sz w:val="30"/>
              <w:szCs w:val="30"/>
            </w:rPr>
            <w:fldChar w:fldCharType="begin"/>
          </w:r>
          <w:r>
            <w:rPr>
              <w:sz w:val="30"/>
              <w:szCs w:val="30"/>
            </w:rPr>
            <w:instrText xml:space="preserve"> PAGEREF _Toc3573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_Toc24571 </w:instrText>
          </w:r>
          <w:r>
            <w:rPr>
              <w:sz w:val="30"/>
              <w:szCs w:val="30"/>
            </w:rPr>
            <w:fldChar w:fldCharType="separate"/>
          </w:r>
          <w:r>
            <w:rPr>
              <w:rFonts w:hint="eastAsia" w:ascii="黑体" w:hAnsi="黑体" w:eastAsia="黑体"/>
              <w:sz w:val="30"/>
              <w:szCs w:val="30"/>
            </w:rPr>
            <w:t xml:space="preserve">第二部分 </w:t>
          </w:r>
          <w:r>
            <w:rPr>
              <w:rFonts w:hint="eastAsia" w:ascii="黑体" w:hAnsi="黑体" w:eastAsia="黑体"/>
              <w:bCs w:val="0"/>
              <w:sz w:val="30"/>
              <w:szCs w:val="30"/>
            </w:rPr>
            <w:t>2018年度部门决算情况说明</w:t>
          </w:r>
          <w:r>
            <w:rPr>
              <w:sz w:val="30"/>
              <w:szCs w:val="30"/>
            </w:rPr>
            <w:tab/>
          </w:r>
          <w:r>
            <w:rPr>
              <w:sz w:val="30"/>
              <w:szCs w:val="30"/>
            </w:rPr>
            <w:fldChar w:fldCharType="begin"/>
          </w:r>
          <w:r>
            <w:rPr>
              <w:sz w:val="30"/>
              <w:szCs w:val="30"/>
            </w:rPr>
            <w:instrText xml:space="preserve"> PAGEREF _Toc24571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_Toc2035 </w:instrText>
          </w:r>
          <w:r>
            <w:rPr>
              <w:sz w:val="30"/>
              <w:szCs w:val="30"/>
            </w:rPr>
            <w:fldChar w:fldCharType="separate"/>
          </w:r>
          <w:r>
            <w:rPr>
              <w:rFonts w:hint="default" w:ascii="黑体" w:hAnsi="黑体" w:eastAsia="黑体"/>
              <w:sz w:val="30"/>
              <w:szCs w:val="30"/>
            </w:rPr>
            <w:t xml:space="preserve">一、 </w:t>
          </w:r>
          <w:r>
            <w:rPr>
              <w:rFonts w:hint="eastAsia" w:ascii="黑体" w:hAnsi="黑体" w:eastAsia="黑体"/>
              <w:sz w:val="30"/>
              <w:szCs w:val="30"/>
            </w:rPr>
            <w:t>收入支出决算总体情况说明</w:t>
          </w:r>
          <w:r>
            <w:rPr>
              <w:sz w:val="30"/>
              <w:szCs w:val="30"/>
            </w:rPr>
            <w:tab/>
          </w:r>
          <w:r>
            <w:rPr>
              <w:sz w:val="30"/>
              <w:szCs w:val="30"/>
            </w:rPr>
            <w:fldChar w:fldCharType="begin"/>
          </w:r>
          <w:r>
            <w:rPr>
              <w:sz w:val="30"/>
              <w:szCs w:val="30"/>
            </w:rPr>
            <w:instrText xml:space="preserve"> PAGEREF _Toc2035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_Toc18016 </w:instrText>
          </w:r>
          <w:r>
            <w:rPr>
              <w:sz w:val="30"/>
              <w:szCs w:val="30"/>
            </w:rPr>
            <w:fldChar w:fldCharType="separate"/>
          </w:r>
          <w:r>
            <w:rPr>
              <w:rFonts w:hint="default" w:ascii="黑体" w:hAnsi="黑体" w:eastAsia="黑体"/>
              <w:sz w:val="30"/>
              <w:szCs w:val="30"/>
            </w:rPr>
            <w:t xml:space="preserve">二、 </w:t>
          </w:r>
          <w:r>
            <w:rPr>
              <w:rFonts w:hint="eastAsia" w:ascii="黑体" w:hAnsi="黑体" w:eastAsia="黑体"/>
              <w:sz w:val="30"/>
              <w:szCs w:val="30"/>
            </w:rPr>
            <w:t>收入决算情况说明</w:t>
          </w:r>
          <w:r>
            <w:rPr>
              <w:sz w:val="30"/>
              <w:szCs w:val="30"/>
            </w:rPr>
            <w:tab/>
          </w:r>
          <w:r>
            <w:rPr>
              <w:sz w:val="30"/>
              <w:szCs w:val="30"/>
            </w:rPr>
            <w:fldChar w:fldCharType="begin"/>
          </w:r>
          <w:r>
            <w:rPr>
              <w:sz w:val="30"/>
              <w:szCs w:val="30"/>
            </w:rPr>
            <w:instrText xml:space="preserve"> PAGEREF _Toc18016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_Toc13910 </w:instrText>
          </w:r>
          <w:r>
            <w:rPr>
              <w:sz w:val="30"/>
              <w:szCs w:val="30"/>
            </w:rPr>
            <w:fldChar w:fldCharType="separate"/>
          </w:r>
          <w:r>
            <w:rPr>
              <w:rFonts w:hint="default" w:ascii="黑体" w:hAnsi="黑体" w:eastAsia="黑体"/>
              <w:sz w:val="30"/>
              <w:szCs w:val="30"/>
            </w:rPr>
            <w:t xml:space="preserve">三、 </w:t>
          </w:r>
          <w:r>
            <w:rPr>
              <w:rFonts w:hint="eastAsia" w:ascii="黑体" w:hAnsi="黑体" w:eastAsia="黑体"/>
              <w:sz w:val="30"/>
              <w:szCs w:val="30"/>
            </w:rPr>
            <w:t>支出决算情况说明</w:t>
          </w:r>
          <w:r>
            <w:rPr>
              <w:sz w:val="30"/>
              <w:szCs w:val="30"/>
            </w:rPr>
            <w:tab/>
          </w:r>
          <w:r>
            <w:rPr>
              <w:sz w:val="30"/>
              <w:szCs w:val="30"/>
            </w:rPr>
            <w:fldChar w:fldCharType="begin"/>
          </w:r>
          <w:r>
            <w:rPr>
              <w:sz w:val="30"/>
              <w:szCs w:val="30"/>
            </w:rPr>
            <w:instrText xml:space="preserve"> PAGEREF _Toc13910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_Toc2422 </w:instrText>
          </w:r>
          <w:r>
            <w:rPr>
              <w:sz w:val="30"/>
              <w:szCs w:val="30"/>
            </w:rPr>
            <w:fldChar w:fldCharType="separate"/>
          </w:r>
          <w:r>
            <w:rPr>
              <w:rFonts w:hint="eastAsia" w:ascii="黑体" w:hAnsi="黑体" w:eastAsia="黑体"/>
              <w:sz w:val="30"/>
              <w:szCs w:val="30"/>
            </w:rPr>
            <w:t>四、财政拨款收入支出决算总体情况说明</w:t>
          </w:r>
          <w:r>
            <w:rPr>
              <w:sz w:val="30"/>
              <w:szCs w:val="30"/>
            </w:rPr>
            <w:tab/>
          </w:r>
          <w:r>
            <w:rPr>
              <w:sz w:val="30"/>
              <w:szCs w:val="30"/>
            </w:rPr>
            <w:fldChar w:fldCharType="begin"/>
          </w:r>
          <w:r>
            <w:rPr>
              <w:sz w:val="30"/>
              <w:szCs w:val="30"/>
            </w:rPr>
            <w:instrText xml:space="preserve"> PAGEREF _Toc2422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_Toc3683 </w:instrText>
          </w:r>
          <w:r>
            <w:rPr>
              <w:sz w:val="30"/>
              <w:szCs w:val="30"/>
            </w:rPr>
            <w:fldChar w:fldCharType="separate"/>
          </w:r>
          <w:r>
            <w:rPr>
              <w:rFonts w:hint="eastAsia" w:ascii="黑体" w:hAnsi="黑体" w:eastAsia="黑体"/>
              <w:sz w:val="30"/>
              <w:szCs w:val="30"/>
            </w:rPr>
            <w:t>五、一般公共预算财政拨款支出决算情况说明</w:t>
          </w:r>
          <w:r>
            <w:rPr>
              <w:sz w:val="30"/>
              <w:szCs w:val="30"/>
            </w:rPr>
            <w:tab/>
          </w:r>
          <w:r>
            <w:rPr>
              <w:sz w:val="30"/>
              <w:szCs w:val="30"/>
            </w:rPr>
            <w:fldChar w:fldCharType="begin"/>
          </w:r>
          <w:r>
            <w:rPr>
              <w:sz w:val="30"/>
              <w:szCs w:val="30"/>
            </w:rPr>
            <w:instrText xml:space="preserve"> PAGEREF _Toc3683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_Toc1136 </w:instrText>
          </w:r>
          <w:r>
            <w:rPr>
              <w:sz w:val="30"/>
              <w:szCs w:val="30"/>
            </w:rPr>
            <w:fldChar w:fldCharType="separate"/>
          </w:r>
          <w:r>
            <w:rPr>
              <w:rFonts w:hint="eastAsia" w:ascii="黑体" w:eastAsia="黑体"/>
              <w:sz w:val="30"/>
              <w:szCs w:val="30"/>
            </w:rPr>
            <w:t>六、</w:t>
          </w:r>
          <w:r>
            <w:rPr>
              <w:rFonts w:hint="eastAsia" w:ascii="黑体" w:hAnsi="黑体" w:eastAsia="黑体"/>
              <w:sz w:val="30"/>
              <w:szCs w:val="30"/>
            </w:rPr>
            <w:t>一般公共预算财政拨款基本支出决算情况说明</w:t>
          </w:r>
          <w:r>
            <w:rPr>
              <w:sz w:val="30"/>
              <w:szCs w:val="30"/>
            </w:rPr>
            <w:tab/>
          </w:r>
          <w:r>
            <w:rPr>
              <w:sz w:val="30"/>
              <w:szCs w:val="30"/>
            </w:rPr>
            <w:fldChar w:fldCharType="begin"/>
          </w:r>
          <w:r>
            <w:rPr>
              <w:sz w:val="30"/>
              <w:szCs w:val="30"/>
            </w:rPr>
            <w:instrText xml:space="preserve"> PAGEREF _Toc1136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_Toc4364 </w:instrText>
          </w:r>
          <w:r>
            <w:rPr>
              <w:sz w:val="30"/>
              <w:szCs w:val="30"/>
            </w:rPr>
            <w:fldChar w:fldCharType="separate"/>
          </w:r>
          <w:r>
            <w:rPr>
              <w:rFonts w:hint="eastAsia" w:ascii="黑体" w:eastAsia="黑体"/>
              <w:sz w:val="30"/>
              <w:szCs w:val="30"/>
            </w:rPr>
            <w:t>七、</w:t>
          </w:r>
          <w:r>
            <w:rPr>
              <w:rFonts w:hint="eastAsia" w:ascii="黑体" w:hAnsi="黑体" w:eastAsia="黑体"/>
              <w:sz w:val="30"/>
              <w:szCs w:val="30"/>
            </w:rPr>
            <w:t>“三公”经费财政拨款支出决算情况说明</w:t>
          </w:r>
          <w:r>
            <w:rPr>
              <w:sz w:val="30"/>
              <w:szCs w:val="30"/>
            </w:rPr>
            <w:tab/>
          </w:r>
          <w:r>
            <w:rPr>
              <w:sz w:val="30"/>
              <w:szCs w:val="30"/>
            </w:rPr>
            <w:fldChar w:fldCharType="begin"/>
          </w:r>
          <w:r>
            <w:rPr>
              <w:sz w:val="30"/>
              <w:szCs w:val="30"/>
            </w:rPr>
            <w:instrText xml:space="preserve"> PAGEREF _Toc4364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_Toc19343 </w:instrText>
          </w:r>
          <w:r>
            <w:rPr>
              <w:sz w:val="30"/>
              <w:szCs w:val="30"/>
            </w:rPr>
            <w:fldChar w:fldCharType="separate"/>
          </w:r>
          <w:r>
            <w:rPr>
              <w:rFonts w:hint="eastAsia" w:ascii="黑体" w:eastAsia="黑体"/>
              <w:sz w:val="30"/>
              <w:szCs w:val="30"/>
            </w:rPr>
            <w:t>八、</w:t>
          </w:r>
          <w:r>
            <w:rPr>
              <w:rFonts w:hint="eastAsia" w:ascii="黑体" w:hAnsi="黑体" w:eastAsia="黑体"/>
              <w:sz w:val="30"/>
              <w:szCs w:val="30"/>
            </w:rPr>
            <w:t>政府性基金预算支出决算情况说明</w:t>
          </w:r>
          <w:r>
            <w:rPr>
              <w:sz w:val="30"/>
              <w:szCs w:val="30"/>
            </w:rPr>
            <w:tab/>
          </w:r>
          <w:r>
            <w:rPr>
              <w:sz w:val="30"/>
              <w:szCs w:val="30"/>
            </w:rPr>
            <w:fldChar w:fldCharType="begin"/>
          </w:r>
          <w:r>
            <w:rPr>
              <w:sz w:val="30"/>
              <w:szCs w:val="30"/>
            </w:rPr>
            <w:instrText xml:space="preserve"> PAGEREF _Toc19343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_Toc14343 </w:instrText>
          </w:r>
          <w:r>
            <w:rPr>
              <w:sz w:val="30"/>
              <w:szCs w:val="30"/>
            </w:rPr>
            <w:fldChar w:fldCharType="separate"/>
          </w:r>
          <w:r>
            <w:rPr>
              <w:rFonts w:hint="eastAsia" w:ascii="黑体" w:hAnsi="黑体" w:eastAsia="黑体"/>
              <w:sz w:val="30"/>
              <w:szCs w:val="30"/>
            </w:rPr>
            <w:t>九、 国有资本经营预算支出决算情况说明</w:t>
          </w:r>
          <w:r>
            <w:rPr>
              <w:sz w:val="30"/>
              <w:szCs w:val="30"/>
            </w:rPr>
            <w:tab/>
          </w:r>
          <w:r>
            <w:rPr>
              <w:sz w:val="30"/>
              <w:szCs w:val="30"/>
            </w:rPr>
            <w:fldChar w:fldCharType="begin"/>
          </w:r>
          <w:r>
            <w:rPr>
              <w:sz w:val="30"/>
              <w:szCs w:val="30"/>
            </w:rPr>
            <w:instrText xml:space="preserve"> PAGEREF _Toc14343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_Toc16965 </w:instrText>
          </w:r>
          <w:r>
            <w:rPr>
              <w:sz w:val="30"/>
              <w:szCs w:val="30"/>
            </w:rPr>
            <w:fldChar w:fldCharType="separate"/>
          </w:r>
          <w:r>
            <w:rPr>
              <w:rFonts w:hint="eastAsia" w:ascii="黑体" w:hAnsi="黑体" w:eastAsia="黑体"/>
              <w:sz w:val="30"/>
              <w:szCs w:val="30"/>
            </w:rPr>
            <w:t>十一、其他重要事项的情况说明</w:t>
          </w:r>
          <w:r>
            <w:rPr>
              <w:sz w:val="30"/>
              <w:szCs w:val="30"/>
            </w:rPr>
            <w:tab/>
          </w:r>
          <w:r>
            <w:rPr>
              <w:sz w:val="30"/>
              <w:szCs w:val="30"/>
            </w:rPr>
            <w:fldChar w:fldCharType="begin"/>
          </w:r>
          <w:r>
            <w:rPr>
              <w:sz w:val="30"/>
              <w:szCs w:val="30"/>
            </w:rPr>
            <w:instrText xml:space="preserve"> PAGEREF _Toc16965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_Toc19045 </w:instrText>
          </w:r>
          <w:r>
            <w:rPr>
              <w:sz w:val="30"/>
              <w:szCs w:val="30"/>
            </w:rPr>
            <w:fldChar w:fldCharType="separate"/>
          </w:r>
          <w:r>
            <w:rPr>
              <w:rFonts w:hint="eastAsia" w:ascii="黑体" w:hAnsi="黑体" w:eastAsia="黑体"/>
              <w:sz w:val="30"/>
              <w:szCs w:val="30"/>
            </w:rPr>
            <w:t>第三部分 名词解释</w:t>
          </w:r>
          <w:r>
            <w:rPr>
              <w:sz w:val="30"/>
              <w:szCs w:val="30"/>
            </w:rPr>
            <w:tab/>
          </w:r>
          <w:r>
            <w:rPr>
              <w:sz w:val="30"/>
              <w:szCs w:val="30"/>
            </w:rPr>
            <w:fldChar w:fldCharType="begin"/>
          </w:r>
          <w:r>
            <w:rPr>
              <w:sz w:val="30"/>
              <w:szCs w:val="30"/>
            </w:rPr>
            <w:instrText xml:space="preserve"> PAGEREF _Toc19045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0"/>
            <w:tabs>
              <w:tab w:val="right" w:leader="dot" w:pos="8306"/>
              <w:tab w:val="clear" w:pos="8296"/>
            </w:tabs>
            <w:rPr>
              <w:sz w:val="30"/>
              <w:szCs w:val="30"/>
            </w:rPr>
          </w:pPr>
          <w:r>
            <w:rPr>
              <w:sz w:val="30"/>
              <w:szCs w:val="30"/>
            </w:rPr>
            <w:fldChar w:fldCharType="begin"/>
          </w:r>
          <w:r>
            <w:rPr>
              <w:sz w:val="30"/>
              <w:szCs w:val="30"/>
            </w:rPr>
            <w:instrText xml:space="preserve"> HYPERLINK \l _Toc27708 </w:instrText>
          </w:r>
          <w:r>
            <w:rPr>
              <w:sz w:val="30"/>
              <w:szCs w:val="30"/>
            </w:rPr>
            <w:fldChar w:fldCharType="separate"/>
          </w:r>
          <w:r>
            <w:rPr>
              <w:rFonts w:hint="eastAsia" w:ascii="黑体" w:hAnsi="黑体" w:eastAsia="黑体"/>
              <w:sz w:val="30"/>
              <w:szCs w:val="30"/>
            </w:rPr>
            <w:t>第</w:t>
          </w:r>
          <w:r>
            <w:rPr>
              <w:rFonts w:hint="eastAsia" w:ascii="黑体" w:hAnsi="黑体" w:eastAsia="黑体"/>
              <w:sz w:val="30"/>
              <w:szCs w:val="30"/>
              <w:lang w:eastAsia="zh-CN"/>
            </w:rPr>
            <w:t>四</w:t>
          </w:r>
          <w:r>
            <w:rPr>
              <w:rFonts w:hint="eastAsia" w:ascii="黑体" w:hAnsi="黑体" w:eastAsia="黑体"/>
              <w:sz w:val="30"/>
              <w:szCs w:val="30"/>
            </w:rPr>
            <w:t>部分 附表</w:t>
          </w:r>
          <w:r>
            <w:rPr>
              <w:sz w:val="30"/>
              <w:szCs w:val="30"/>
            </w:rPr>
            <w:tab/>
          </w:r>
          <w:r>
            <w:rPr>
              <w:sz w:val="30"/>
              <w:szCs w:val="30"/>
            </w:rPr>
            <w:fldChar w:fldCharType="begin"/>
          </w:r>
          <w:r>
            <w:rPr>
              <w:sz w:val="30"/>
              <w:szCs w:val="30"/>
            </w:rPr>
            <w:instrText xml:space="preserve"> PAGEREF _Toc27708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_Toc23521 </w:instrText>
          </w:r>
          <w:r>
            <w:rPr>
              <w:sz w:val="30"/>
              <w:szCs w:val="30"/>
            </w:rPr>
            <w:fldChar w:fldCharType="separate"/>
          </w:r>
          <w:r>
            <w:rPr>
              <w:rFonts w:hint="eastAsia" w:ascii="仿宋" w:hAnsi="仿宋" w:eastAsia="仿宋"/>
              <w:sz w:val="30"/>
              <w:szCs w:val="30"/>
            </w:rPr>
            <w:t>一、收</w:t>
          </w:r>
          <w:r>
            <w:rPr>
              <w:rFonts w:hint="eastAsia" w:ascii="仿宋" w:hAnsi="仿宋" w:eastAsia="仿宋"/>
              <w:bCs w:val="0"/>
              <w:sz w:val="30"/>
              <w:szCs w:val="30"/>
            </w:rPr>
            <w:t>入支出决算总表</w:t>
          </w:r>
          <w:r>
            <w:rPr>
              <w:sz w:val="30"/>
              <w:szCs w:val="30"/>
            </w:rPr>
            <w:tab/>
          </w:r>
          <w:r>
            <w:rPr>
              <w:sz w:val="30"/>
              <w:szCs w:val="30"/>
            </w:rPr>
            <w:fldChar w:fldCharType="begin"/>
          </w:r>
          <w:r>
            <w:rPr>
              <w:sz w:val="30"/>
              <w:szCs w:val="30"/>
            </w:rPr>
            <w:instrText xml:space="preserve"> PAGEREF _Toc23521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_Toc10340 </w:instrText>
          </w:r>
          <w:r>
            <w:rPr>
              <w:sz w:val="30"/>
              <w:szCs w:val="30"/>
            </w:rPr>
            <w:fldChar w:fldCharType="separate"/>
          </w:r>
          <w:r>
            <w:rPr>
              <w:rFonts w:hint="eastAsia" w:ascii="仿宋" w:hAnsi="仿宋" w:eastAsia="仿宋"/>
              <w:sz w:val="30"/>
              <w:szCs w:val="30"/>
            </w:rPr>
            <w:t>二、收</w:t>
          </w:r>
          <w:r>
            <w:rPr>
              <w:rFonts w:hint="eastAsia" w:ascii="仿宋" w:hAnsi="仿宋" w:eastAsia="仿宋"/>
              <w:bCs w:val="0"/>
              <w:sz w:val="30"/>
              <w:szCs w:val="30"/>
            </w:rPr>
            <w:t>入总表</w:t>
          </w:r>
          <w:r>
            <w:rPr>
              <w:sz w:val="30"/>
              <w:szCs w:val="30"/>
            </w:rPr>
            <w:tab/>
          </w:r>
          <w:r>
            <w:rPr>
              <w:sz w:val="30"/>
              <w:szCs w:val="30"/>
            </w:rPr>
            <w:fldChar w:fldCharType="begin"/>
          </w:r>
          <w:r>
            <w:rPr>
              <w:sz w:val="30"/>
              <w:szCs w:val="30"/>
            </w:rPr>
            <w:instrText xml:space="preserve"> PAGEREF _Toc10340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_Toc24502 </w:instrText>
          </w:r>
          <w:r>
            <w:rPr>
              <w:sz w:val="30"/>
              <w:szCs w:val="30"/>
            </w:rPr>
            <w:fldChar w:fldCharType="separate"/>
          </w:r>
          <w:r>
            <w:rPr>
              <w:rFonts w:hint="eastAsia" w:ascii="仿宋" w:hAnsi="仿宋" w:eastAsia="仿宋"/>
              <w:bCs w:val="0"/>
              <w:sz w:val="30"/>
              <w:szCs w:val="30"/>
            </w:rPr>
            <w:t>三、</w:t>
          </w:r>
          <w:r>
            <w:rPr>
              <w:rFonts w:hint="eastAsia" w:ascii="仿宋" w:hAnsi="仿宋" w:eastAsia="仿宋"/>
              <w:sz w:val="30"/>
              <w:szCs w:val="30"/>
            </w:rPr>
            <w:t>支</w:t>
          </w:r>
          <w:r>
            <w:rPr>
              <w:rFonts w:hint="eastAsia" w:ascii="仿宋" w:hAnsi="仿宋" w:eastAsia="仿宋"/>
              <w:bCs w:val="0"/>
              <w:sz w:val="30"/>
              <w:szCs w:val="30"/>
            </w:rPr>
            <w:t>出总表</w:t>
          </w:r>
          <w:r>
            <w:rPr>
              <w:sz w:val="30"/>
              <w:szCs w:val="30"/>
            </w:rPr>
            <w:tab/>
          </w:r>
          <w:r>
            <w:rPr>
              <w:sz w:val="30"/>
              <w:szCs w:val="30"/>
            </w:rPr>
            <w:fldChar w:fldCharType="begin"/>
          </w:r>
          <w:r>
            <w:rPr>
              <w:sz w:val="30"/>
              <w:szCs w:val="30"/>
            </w:rPr>
            <w:instrText xml:space="preserve"> PAGEREF _Toc24502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_Toc21920 </w:instrText>
          </w:r>
          <w:r>
            <w:rPr>
              <w:sz w:val="30"/>
              <w:szCs w:val="30"/>
            </w:rPr>
            <w:fldChar w:fldCharType="separate"/>
          </w:r>
          <w:r>
            <w:rPr>
              <w:rFonts w:hint="eastAsia" w:ascii="仿宋" w:hAnsi="仿宋" w:eastAsia="仿宋"/>
              <w:bCs w:val="0"/>
              <w:sz w:val="30"/>
              <w:szCs w:val="30"/>
            </w:rPr>
            <w:t>四、</w:t>
          </w:r>
          <w:r>
            <w:rPr>
              <w:rFonts w:hint="eastAsia" w:ascii="仿宋" w:hAnsi="仿宋" w:eastAsia="仿宋"/>
              <w:sz w:val="30"/>
              <w:szCs w:val="30"/>
            </w:rPr>
            <w:t>财</w:t>
          </w:r>
          <w:r>
            <w:rPr>
              <w:rFonts w:hint="eastAsia" w:ascii="仿宋" w:hAnsi="仿宋" w:eastAsia="仿宋"/>
              <w:bCs w:val="0"/>
              <w:sz w:val="30"/>
              <w:szCs w:val="30"/>
            </w:rPr>
            <w:t>政拨款收入支出决算总表</w:t>
          </w:r>
          <w:r>
            <w:rPr>
              <w:sz w:val="30"/>
              <w:szCs w:val="30"/>
            </w:rPr>
            <w:tab/>
          </w:r>
          <w:r>
            <w:rPr>
              <w:sz w:val="30"/>
              <w:szCs w:val="30"/>
            </w:rPr>
            <w:fldChar w:fldCharType="begin"/>
          </w:r>
          <w:r>
            <w:rPr>
              <w:sz w:val="30"/>
              <w:szCs w:val="30"/>
            </w:rPr>
            <w:instrText xml:space="preserve"> PAGEREF _Toc21920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_Toc2284 </w:instrText>
          </w:r>
          <w:r>
            <w:rPr>
              <w:sz w:val="30"/>
              <w:szCs w:val="30"/>
            </w:rPr>
            <w:fldChar w:fldCharType="separate"/>
          </w:r>
          <w:r>
            <w:rPr>
              <w:rFonts w:hint="eastAsia" w:ascii="仿宋" w:hAnsi="仿宋" w:eastAsia="仿宋"/>
              <w:bCs w:val="0"/>
              <w:sz w:val="30"/>
              <w:szCs w:val="30"/>
            </w:rPr>
            <w:t>五、</w:t>
          </w:r>
          <w:r>
            <w:rPr>
              <w:rFonts w:hint="eastAsia" w:ascii="仿宋" w:hAnsi="仿宋" w:eastAsia="仿宋"/>
              <w:sz w:val="30"/>
              <w:szCs w:val="30"/>
            </w:rPr>
            <w:t>财</w:t>
          </w:r>
          <w:r>
            <w:rPr>
              <w:rFonts w:hint="eastAsia" w:ascii="仿宋" w:hAnsi="仿宋" w:eastAsia="仿宋"/>
              <w:bCs w:val="0"/>
              <w:sz w:val="30"/>
              <w:szCs w:val="30"/>
            </w:rPr>
            <w:t>政拨款支出决算明细表（政府经济分类科目）</w:t>
          </w:r>
          <w:r>
            <w:rPr>
              <w:sz w:val="30"/>
              <w:szCs w:val="30"/>
            </w:rPr>
            <w:tab/>
          </w:r>
          <w:r>
            <w:rPr>
              <w:sz w:val="30"/>
              <w:szCs w:val="30"/>
            </w:rPr>
            <w:fldChar w:fldCharType="begin"/>
          </w:r>
          <w:r>
            <w:rPr>
              <w:sz w:val="30"/>
              <w:szCs w:val="30"/>
            </w:rPr>
            <w:instrText xml:space="preserve"> PAGEREF _Toc2284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_Toc13792 </w:instrText>
          </w:r>
          <w:r>
            <w:rPr>
              <w:sz w:val="30"/>
              <w:szCs w:val="30"/>
            </w:rPr>
            <w:fldChar w:fldCharType="separate"/>
          </w:r>
          <w:r>
            <w:rPr>
              <w:rFonts w:hint="eastAsia" w:ascii="仿宋" w:hAnsi="仿宋" w:eastAsia="仿宋"/>
              <w:bCs w:val="0"/>
              <w:sz w:val="30"/>
              <w:szCs w:val="30"/>
            </w:rPr>
            <w:t>六、</w:t>
          </w:r>
          <w:r>
            <w:rPr>
              <w:rFonts w:hint="eastAsia" w:ascii="仿宋" w:hAnsi="仿宋" w:eastAsia="仿宋"/>
              <w:sz w:val="30"/>
              <w:szCs w:val="30"/>
            </w:rPr>
            <w:t>一</w:t>
          </w:r>
          <w:r>
            <w:rPr>
              <w:rFonts w:hint="eastAsia" w:ascii="仿宋" w:hAnsi="仿宋" w:eastAsia="仿宋"/>
              <w:bCs w:val="0"/>
              <w:sz w:val="30"/>
              <w:szCs w:val="30"/>
            </w:rPr>
            <w:t>般公共预算财政拨款支出决算表</w:t>
          </w:r>
          <w:r>
            <w:rPr>
              <w:sz w:val="30"/>
              <w:szCs w:val="30"/>
            </w:rPr>
            <w:tab/>
          </w:r>
          <w:r>
            <w:rPr>
              <w:sz w:val="30"/>
              <w:szCs w:val="30"/>
            </w:rPr>
            <w:fldChar w:fldCharType="begin"/>
          </w:r>
          <w:r>
            <w:rPr>
              <w:sz w:val="30"/>
              <w:szCs w:val="30"/>
            </w:rPr>
            <w:instrText xml:space="preserve"> PAGEREF _Toc13792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_Toc2226 </w:instrText>
          </w:r>
          <w:r>
            <w:rPr>
              <w:sz w:val="30"/>
              <w:szCs w:val="30"/>
            </w:rPr>
            <w:fldChar w:fldCharType="separate"/>
          </w:r>
          <w:r>
            <w:rPr>
              <w:rFonts w:hint="eastAsia" w:ascii="仿宋" w:hAnsi="仿宋" w:eastAsia="仿宋"/>
              <w:bCs w:val="0"/>
              <w:sz w:val="30"/>
              <w:szCs w:val="30"/>
            </w:rPr>
            <w:t>七、</w:t>
          </w:r>
          <w:r>
            <w:rPr>
              <w:rFonts w:hint="eastAsia" w:ascii="仿宋" w:hAnsi="仿宋" w:eastAsia="仿宋"/>
              <w:sz w:val="30"/>
              <w:szCs w:val="30"/>
            </w:rPr>
            <w:t>一</w:t>
          </w:r>
          <w:r>
            <w:rPr>
              <w:rFonts w:hint="eastAsia" w:ascii="仿宋" w:hAnsi="仿宋" w:eastAsia="仿宋"/>
              <w:bCs w:val="0"/>
              <w:sz w:val="30"/>
              <w:szCs w:val="30"/>
            </w:rPr>
            <w:t>般公共预算财政拨款支出决算明细表</w:t>
          </w:r>
          <w:r>
            <w:rPr>
              <w:sz w:val="30"/>
              <w:szCs w:val="30"/>
            </w:rPr>
            <w:tab/>
          </w:r>
          <w:r>
            <w:rPr>
              <w:sz w:val="30"/>
              <w:szCs w:val="30"/>
            </w:rPr>
            <w:fldChar w:fldCharType="begin"/>
          </w:r>
          <w:r>
            <w:rPr>
              <w:sz w:val="30"/>
              <w:szCs w:val="30"/>
            </w:rPr>
            <w:instrText xml:space="preserve"> PAGEREF _Toc2226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_Toc14495 </w:instrText>
          </w:r>
          <w:r>
            <w:rPr>
              <w:sz w:val="30"/>
              <w:szCs w:val="30"/>
            </w:rPr>
            <w:fldChar w:fldCharType="separate"/>
          </w:r>
          <w:r>
            <w:rPr>
              <w:rFonts w:hint="eastAsia" w:ascii="仿宋" w:hAnsi="仿宋" w:eastAsia="仿宋"/>
              <w:bCs w:val="0"/>
              <w:sz w:val="30"/>
              <w:szCs w:val="30"/>
            </w:rPr>
            <w:t>八、</w:t>
          </w:r>
          <w:r>
            <w:rPr>
              <w:rFonts w:hint="eastAsia" w:ascii="仿宋" w:hAnsi="仿宋" w:eastAsia="仿宋"/>
              <w:sz w:val="30"/>
              <w:szCs w:val="30"/>
            </w:rPr>
            <w:t>一</w:t>
          </w:r>
          <w:r>
            <w:rPr>
              <w:rFonts w:hint="eastAsia" w:ascii="仿宋" w:hAnsi="仿宋" w:eastAsia="仿宋"/>
              <w:bCs w:val="0"/>
              <w:sz w:val="30"/>
              <w:szCs w:val="30"/>
            </w:rPr>
            <w:t>般公共预算财政拨款基本支出决算表</w:t>
          </w:r>
          <w:r>
            <w:rPr>
              <w:sz w:val="30"/>
              <w:szCs w:val="30"/>
            </w:rPr>
            <w:tab/>
          </w:r>
          <w:r>
            <w:rPr>
              <w:sz w:val="30"/>
              <w:szCs w:val="30"/>
            </w:rPr>
            <w:fldChar w:fldCharType="begin"/>
          </w:r>
          <w:r>
            <w:rPr>
              <w:sz w:val="30"/>
              <w:szCs w:val="30"/>
            </w:rPr>
            <w:instrText xml:space="preserve"> PAGEREF _Toc14495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_Toc20317 </w:instrText>
          </w:r>
          <w:r>
            <w:rPr>
              <w:sz w:val="30"/>
              <w:szCs w:val="30"/>
            </w:rPr>
            <w:fldChar w:fldCharType="separate"/>
          </w:r>
          <w:r>
            <w:rPr>
              <w:rFonts w:hint="eastAsia" w:ascii="仿宋" w:hAnsi="仿宋" w:eastAsia="仿宋"/>
              <w:bCs w:val="0"/>
              <w:sz w:val="30"/>
              <w:szCs w:val="30"/>
            </w:rPr>
            <w:t>九、</w:t>
          </w:r>
          <w:r>
            <w:rPr>
              <w:rFonts w:hint="eastAsia" w:ascii="仿宋" w:hAnsi="仿宋" w:eastAsia="仿宋"/>
              <w:sz w:val="30"/>
              <w:szCs w:val="30"/>
            </w:rPr>
            <w:t>一</w:t>
          </w:r>
          <w:r>
            <w:rPr>
              <w:rFonts w:hint="eastAsia" w:ascii="仿宋" w:hAnsi="仿宋" w:eastAsia="仿宋"/>
              <w:bCs w:val="0"/>
              <w:sz w:val="30"/>
              <w:szCs w:val="30"/>
            </w:rPr>
            <w:t>般公共预算财政拨款项目支出决算表</w:t>
          </w:r>
          <w:r>
            <w:rPr>
              <w:sz w:val="30"/>
              <w:szCs w:val="30"/>
            </w:rPr>
            <w:tab/>
          </w:r>
          <w:r>
            <w:rPr>
              <w:sz w:val="30"/>
              <w:szCs w:val="30"/>
            </w:rPr>
            <w:fldChar w:fldCharType="begin"/>
          </w:r>
          <w:r>
            <w:rPr>
              <w:sz w:val="30"/>
              <w:szCs w:val="30"/>
            </w:rPr>
            <w:instrText xml:space="preserve"> PAGEREF _Toc20317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_Toc30856 </w:instrText>
          </w:r>
          <w:r>
            <w:rPr>
              <w:sz w:val="30"/>
              <w:szCs w:val="30"/>
            </w:rPr>
            <w:fldChar w:fldCharType="separate"/>
          </w:r>
          <w:r>
            <w:rPr>
              <w:rFonts w:hint="eastAsia" w:ascii="仿宋" w:hAnsi="仿宋" w:eastAsia="仿宋"/>
              <w:bCs w:val="0"/>
              <w:sz w:val="30"/>
              <w:szCs w:val="30"/>
            </w:rPr>
            <w:t>十、</w:t>
          </w:r>
          <w:r>
            <w:rPr>
              <w:rFonts w:hint="eastAsia" w:ascii="仿宋" w:hAnsi="仿宋" w:eastAsia="仿宋"/>
              <w:sz w:val="30"/>
              <w:szCs w:val="30"/>
            </w:rPr>
            <w:t>一</w:t>
          </w:r>
          <w:r>
            <w:rPr>
              <w:rFonts w:hint="eastAsia" w:ascii="仿宋" w:hAnsi="仿宋" w:eastAsia="仿宋"/>
              <w:bCs w:val="0"/>
              <w:sz w:val="30"/>
              <w:szCs w:val="30"/>
            </w:rPr>
            <w:t>般公共预算财政拨款“三公”经费支出决算表</w:t>
          </w:r>
          <w:r>
            <w:rPr>
              <w:sz w:val="30"/>
              <w:szCs w:val="30"/>
            </w:rPr>
            <w:tab/>
          </w:r>
          <w:r>
            <w:rPr>
              <w:sz w:val="30"/>
              <w:szCs w:val="30"/>
            </w:rPr>
            <w:fldChar w:fldCharType="begin"/>
          </w:r>
          <w:r>
            <w:rPr>
              <w:sz w:val="30"/>
              <w:szCs w:val="30"/>
            </w:rPr>
            <w:instrText xml:space="preserve"> PAGEREF _Toc30856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_Toc20998 </w:instrText>
          </w:r>
          <w:r>
            <w:rPr>
              <w:sz w:val="30"/>
              <w:szCs w:val="30"/>
            </w:rPr>
            <w:fldChar w:fldCharType="separate"/>
          </w:r>
          <w:r>
            <w:rPr>
              <w:rFonts w:hint="eastAsia" w:ascii="仿宋" w:hAnsi="仿宋" w:eastAsia="仿宋"/>
              <w:bCs w:val="0"/>
              <w:sz w:val="30"/>
              <w:szCs w:val="30"/>
            </w:rPr>
            <w:t>十一、</w:t>
          </w:r>
          <w:r>
            <w:rPr>
              <w:rFonts w:hint="eastAsia" w:ascii="仿宋" w:hAnsi="仿宋" w:eastAsia="仿宋"/>
              <w:sz w:val="30"/>
              <w:szCs w:val="30"/>
            </w:rPr>
            <w:t>政</w:t>
          </w:r>
          <w:r>
            <w:rPr>
              <w:rFonts w:hint="eastAsia" w:ascii="仿宋" w:hAnsi="仿宋" w:eastAsia="仿宋"/>
              <w:bCs w:val="0"/>
              <w:sz w:val="30"/>
              <w:szCs w:val="30"/>
            </w:rPr>
            <w:t>府性基金预算财政拨款收入支出决算表</w:t>
          </w:r>
          <w:r>
            <w:rPr>
              <w:sz w:val="30"/>
              <w:szCs w:val="30"/>
            </w:rPr>
            <w:tab/>
          </w:r>
          <w:r>
            <w:rPr>
              <w:sz w:val="30"/>
              <w:szCs w:val="30"/>
            </w:rPr>
            <w:fldChar w:fldCharType="begin"/>
          </w:r>
          <w:r>
            <w:rPr>
              <w:sz w:val="30"/>
              <w:szCs w:val="30"/>
            </w:rPr>
            <w:instrText xml:space="preserve"> PAGEREF _Toc20998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_Toc12030 </w:instrText>
          </w:r>
          <w:r>
            <w:rPr>
              <w:sz w:val="30"/>
              <w:szCs w:val="30"/>
            </w:rPr>
            <w:fldChar w:fldCharType="separate"/>
          </w:r>
          <w:r>
            <w:rPr>
              <w:rFonts w:hint="eastAsia" w:ascii="仿宋" w:hAnsi="仿宋" w:eastAsia="仿宋"/>
              <w:bCs w:val="0"/>
              <w:sz w:val="30"/>
              <w:szCs w:val="30"/>
            </w:rPr>
            <w:t>十二、</w:t>
          </w:r>
          <w:r>
            <w:rPr>
              <w:rFonts w:hint="eastAsia" w:ascii="仿宋" w:hAnsi="仿宋" w:eastAsia="仿宋"/>
              <w:sz w:val="30"/>
              <w:szCs w:val="30"/>
            </w:rPr>
            <w:t>政</w:t>
          </w:r>
          <w:r>
            <w:rPr>
              <w:rFonts w:hint="eastAsia" w:ascii="仿宋" w:hAnsi="仿宋" w:eastAsia="仿宋"/>
              <w:bCs w:val="0"/>
              <w:sz w:val="30"/>
              <w:szCs w:val="30"/>
            </w:rPr>
            <w:t>府性基金预算财政拨款“三公”经费支出决算表</w:t>
          </w:r>
          <w:r>
            <w:rPr>
              <w:sz w:val="30"/>
              <w:szCs w:val="30"/>
            </w:rPr>
            <w:tab/>
          </w:r>
          <w:r>
            <w:rPr>
              <w:sz w:val="30"/>
              <w:szCs w:val="30"/>
            </w:rPr>
            <w:fldChar w:fldCharType="begin"/>
          </w:r>
          <w:r>
            <w:rPr>
              <w:sz w:val="30"/>
              <w:szCs w:val="30"/>
            </w:rPr>
            <w:instrText xml:space="preserve"> PAGEREF _Toc12030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8306"/>
              <w:tab w:val="clear" w:pos="8296"/>
            </w:tabs>
            <w:rPr>
              <w:sz w:val="30"/>
              <w:szCs w:val="30"/>
            </w:rPr>
          </w:pPr>
          <w:r>
            <w:rPr>
              <w:sz w:val="30"/>
              <w:szCs w:val="30"/>
            </w:rPr>
            <w:fldChar w:fldCharType="begin"/>
          </w:r>
          <w:r>
            <w:rPr>
              <w:sz w:val="30"/>
              <w:szCs w:val="30"/>
            </w:rPr>
            <w:instrText xml:space="preserve"> HYPERLINK \l _Toc25200 </w:instrText>
          </w:r>
          <w:r>
            <w:rPr>
              <w:sz w:val="30"/>
              <w:szCs w:val="30"/>
            </w:rPr>
            <w:fldChar w:fldCharType="separate"/>
          </w:r>
          <w:r>
            <w:rPr>
              <w:rFonts w:hint="eastAsia" w:ascii="仿宋" w:hAnsi="仿宋" w:eastAsia="仿宋"/>
              <w:bCs w:val="0"/>
              <w:sz w:val="30"/>
              <w:szCs w:val="30"/>
            </w:rPr>
            <w:t>十三、</w:t>
          </w:r>
          <w:r>
            <w:rPr>
              <w:rFonts w:hint="eastAsia" w:ascii="仿宋" w:hAnsi="仿宋" w:eastAsia="仿宋"/>
              <w:sz w:val="30"/>
              <w:szCs w:val="30"/>
            </w:rPr>
            <w:t>国</w:t>
          </w:r>
          <w:r>
            <w:rPr>
              <w:rFonts w:hint="eastAsia" w:ascii="仿宋" w:hAnsi="仿宋" w:eastAsia="仿宋"/>
              <w:bCs w:val="0"/>
              <w:sz w:val="30"/>
              <w:szCs w:val="30"/>
            </w:rPr>
            <w:t>有资本经营预算支出决算表</w:t>
          </w:r>
          <w:r>
            <w:rPr>
              <w:sz w:val="30"/>
              <w:szCs w:val="30"/>
            </w:rPr>
            <w:tab/>
          </w:r>
          <w:r>
            <w:rPr>
              <w:sz w:val="30"/>
              <w:szCs w:val="30"/>
            </w:rPr>
            <w:fldChar w:fldCharType="begin"/>
          </w:r>
          <w:r>
            <w:rPr>
              <w:sz w:val="30"/>
              <w:szCs w:val="30"/>
            </w:rPr>
            <w:instrText xml:space="preserve"> PAGEREF _Toc25200 </w:instrText>
          </w:r>
          <w:r>
            <w:rPr>
              <w:sz w:val="30"/>
              <w:szCs w:val="30"/>
            </w:rPr>
            <w:fldChar w:fldCharType="separate"/>
          </w:r>
          <w:r>
            <w:rPr>
              <w:sz w:val="30"/>
              <w:szCs w:val="30"/>
            </w:rPr>
            <w:t>18</w:t>
          </w:r>
          <w:r>
            <w:rPr>
              <w:sz w:val="30"/>
              <w:szCs w:val="30"/>
            </w:rPr>
            <w:fldChar w:fldCharType="end"/>
          </w:r>
          <w:r>
            <w:rPr>
              <w:sz w:val="30"/>
              <w:szCs w:val="30"/>
            </w:rPr>
            <w:fldChar w:fldCharType="end"/>
          </w:r>
        </w:p>
        <w:p>
          <w:r>
            <w:fldChar w:fldCharType="end"/>
          </w:r>
        </w:p>
      </w:sdtContent>
    </w:sdt>
    <w:p>
      <w:r>
        <w:br w:type="page"/>
      </w:r>
    </w:p>
    <w:p/>
    <w:p>
      <w:pPr>
        <w:pStyle w:val="30"/>
        <w:tabs>
          <w:tab w:val="right" w:leader="dot" w:pos="8306"/>
        </w:tabs>
      </w:pPr>
    </w:p>
    <w:p>
      <w:pPr>
        <w:pStyle w:val="2"/>
        <w:jc w:val="center"/>
        <w:rPr>
          <w:rFonts w:ascii="黑体" w:eastAsia="黑体"/>
          <w:color w:val="000000"/>
          <w:sz w:val="32"/>
          <w:szCs w:val="32"/>
        </w:rPr>
      </w:pPr>
      <w:bookmarkStart w:id="15" w:name="_Toc8930_WPSOffice_Level1"/>
      <w:bookmarkStart w:id="16" w:name="_Toc4666_WPSOffice_Level1"/>
      <w:bookmarkStart w:id="17" w:name="_Toc29487_WPSOffice_Level1"/>
      <w:bookmarkStart w:id="18" w:name="_Toc30991"/>
      <w:r>
        <w:rPr>
          <w:rFonts w:hint="eastAsia" w:ascii="黑体" w:hAnsi="黑体" w:eastAsia="黑体"/>
          <w:b w:val="0"/>
        </w:rPr>
        <w:t xml:space="preserve">第一部分 </w:t>
      </w:r>
      <w:r>
        <w:rPr>
          <w:rStyle w:val="24"/>
          <w:rFonts w:hint="eastAsia" w:ascii="黑体" w:hAnsi="黑体" w:eastAsia="黑体"/>
          <w:b w:val="0"/>
          <w:bCs w:val="0"/>
        </w:rPr>
        <w:t>部门概况</w:t>
      </w:r>
      <w:bookmarkEnd w:id="15"/>
      <w:bookmarkEnd w:id="16"/>
      <w:bookmarkEnd w:id="17"/>
      <w:bookmarkEnd w:id="18"/>
    </w:p>
    <w:p>
      <w:pPr>
        <w:pStyle w:val="3"/>
        <w:rPr>
          <w:rStyle w:val="25"/>
          <w:rFonts w:ascii="仿宋" w:hAnsi="仿宋" w:eastAsia="仿宋"/>
          <w:b w:val="0"/>
          <w:bCs w:val="0"/>
        </w:rPr>
      </w:pPr>
      <w:bookmarkStart w:id="19" w:name="_Toc23923"/>
      <w:bookmarkStart w:id="20" w:name="_Toc15377197"/>
      <w:bookmarkStart w:id="21" w:name="_Toc31229_WPSOffice_Level2"/>
      <w:bookmarkStart w:id="22" w:name="_Toc8833_WPSOffice_Level2"/>
      <w:bookmarkStart w:id="23" w:name="_Toc24098_WPSOffice_Level2"/>
      <w:bookmarkStart w:id="24"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9"/>
      <w:bookmarkEnd w:id="20"/>
      <w:bookmarkEnd w:id="21"/>
      <w:bookmarkEnd w:id="22"/>
      <w:bookmarkEnd w:id="23"/>
      <w:bookmarkEnd w:id="24"/>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5" w:name="_Toc15377198"/>
      <w:bookmarkStart w:id="26" w:name="_Toc15378445"/>
      <w:bookmarkStart w:id="27" w:name="_Toc10702"/>
      <w:r>
        <w:rPr>
          <w:rFonts w:hint="eastAsia" w:ascii="仿宋" w:hAnsi="仿宋" w:eastAsia="仿宋"/>
          <w:bCs/>
          <w:color w:val="000000"/>
          <w:sz w:val="32"/>
          <w:szCs w:val="32"/>
        </w:rPr>
        <w:t>（一）主要职能。</w:t>
      </w:r>
      <w:bookmarkEnd w:id="25"/>
      <w:bookmarkEnd w:id="26"/>
      <w:bookmarkEnd w:id="27"/>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1、负责宣传国家文化方针、政策和法令，开展文化科学知识的普及宣传。</w:t>
      </w:r>
      <w:r>
        <w:rPr>
          <w:rFonts w:hint="eastAsia" w:ascii="仿宋_GB2312" w:eastAsia="仿宋_GB2312"/>
          <w:color w:val="000000"/>
          <w:sz w:val="32"/>
          <w:szCs w:val="32"/>
        </w:rPr>
        <w:br w:type="textWrapping"/>
      </w:r>
      <w:r>
        <w:rPr>
          <w:rFonts w:hint="eastAsia" w:ascii="仿宋_GB2312" w:eastAsia="仿宋_GB2312"/>
          <w:color w:val="000000"/>
          <w:sz w:val="32"/>
          <w:szCs w:val="32"/>
        </w:rPr>
        <w:t>2、组织开展健康有益、积极向上、丰富多彩的群众文化系列活动及举办各类艺术展览活动。</w:t>
      </w:r>
      <w:r>
        <w:rPr>
          <w:rFonts w:hint="eastAsia" w:ascii="仿宋_GB2312" w:eastAsia="仿宋_GB2312"/>
          <w:color w:val="000000"/>
          <w:sz w:val="32"/>
          <w:szCs w:val="32"/>
        </w:rPr>
        <w:br w:type="textWrapping"/>
      </w:r>
      <w:r>
        <w:rPr>
          <w:rFonts w:hint="eastAsia" w:ascii="仿宋_GB2312" w:eastAsia="仿宋_GB2312"/>
          <w:color w:val="000000"/>
          <w:sz w:val="32"/>
          <w:szCs w:val="32"/>
        </w:rPr>
        <w:t>3、繁荣群众业余文化艺术活动，培训各种文化艺术人才，建立、健全群众文化艺术档案。</w:t>
      </w:r>
      <w:r>
        <w:rPr>
          <w:rFonts w:hint="eastAsia" w:ascii="仿宋_GB2312" w:eastAsia="仿宋_GB2312"/>
          <w:color w:val="000000"/>
          <w:sz w:val="32"/>
          <w:szCs w:val="32"/>
        </w:rPr>
        <w:br w:type="textWrapping"/>
      </w:r>
      <w:r>
        <w:rPr>
          <w:rFonts w:hint="eastAsia" w:ascii="仿宋_GB2312" w:eastAsia="仿宋_GB2312"/>
          <w:color w:val="000000"/>
          <w:sz w:val="32"/>
          <w:szCs w:val="32"/>
        </w:rPr>
        <w:t>4、组织音乐、舞蹈、美术、书法、文学、摄影等各种群众文化艺术门类的创作；创作贴近实际、贴近群众、贴近生活的优秀文艺作品，使文化馆成为吸引并满足群众求知、求乐、求美的文化艺术活动中心。</w:t>
      </w:r>
      <w:r>
        <w:rPr>
          <w:rFonts w:hint="eastAsia" w:ascii="仿宋_GB2312" w:eastAsia="仿宋_GB2312"/>
          <w:color w:val="000000"/>
          <w:sz w:val="32"/>
          <w:szCs w:val="32"/>
        </w:rPr>
        <w:br w:type="textWrapping"/>
      </w:r>
      <w:r>
        <w:rPr>
          <w:rFonts w:hint="eastAsia" w:ascii="仿宋_GB2312" w:eastAsia="仿宋_GB2312"/>
          <w:color w:val="000000"/>
          <w:sz w:val="32"/>
          <w:szCs w:val="32"/>
        </w:rPr>
        <w:t>5、辅导文化站和各基层业余文化组织，并开展相关培训工作。</w:t>
      </w:r>
      <w:r>
        <w:rPr>
          <w:rFonts w:hint="eastAsia" w:ascii="仿宋_GB2312" w:eastAsia="仿宋_GB2312"/>
          <w:color w:val="000000"/>
          <w:sz w:val="32"/>
          <w:szCs w:val="32"/>
        </w:rPr>
        <w:br w:type="textWrapping"/>
      </w:r>
      <w:r>
        <w:rPr>
          <w:rFonts w:hint="eastAsia" w:ascii="仿宋_GB2312" w:eastAsia="仿宋_GB2312"/>
          <w:color w:val="000000"/>
          <w:sz w:val="32"/>
          <w:szCs w:val="32"/>
        </w:rPr>
        <w:t>6、开展区域内非物质文化遗产的收集、整理、申报及保护等工作。</w:t>
      </w:r>
      <w:r>
        <w:rPr>
          <w:rFonts w:hint="eastAsia" w:ascii="仿宋_GB2312" w:eastAsia="仿宋_GB2312"/>
          <w:color w:val="000000"/>
          <w:sz w:val="32"/>
          <w:szCs w:val="32"/>
        </w:rPr>
        <w:br w:type="textWrapping"/>
      </w:r>
      <w:r>
        <w:rPr>
          <w:rFonts w:hint="eastAsia" w:ascii="仿宋_GB2312" w:eastAsia="仿宋_GB2312"/>
          <w:color w:val="000000"/>
          <w:sz w:val="32"/>
          <w:szCs w:val="32"/>
        </w:rPr>
        <w:t>7、完成主管部门交办的其它工作任务。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8" w:name="_Toc20054"/>
      <w:r>
        <w:rPr>
          <w:rFonts w:hint="eastAsia" w:ascii="仿宋_GB2312" w:eastAsia="仿宋_GB2312"/>
          <w:color w:val="000000"/>
          <w:sz w:val="32"/>
          <w:szCs w:val="32"/>
        </w:rPr>
        <w:t>8、承办县政府交办的其他事项。</w:t>
      </w:r>
      <w:bookmarkEnd w:id="28"/>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9" w:name="_Toc8549"/>
      <w:bookmarkStart w:id="30" w:name="_Toc15377199"/>
      <w:bookmarkStart w:id="31"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29"/>
      <w:bookmarkEnd w:id="30"/>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val="0"/>
        <w:spacing w:line="600" w:lineRule="exact"/>
        <w:ind w:left="76" w:right="0" w:firstLine="640" w:firstLineChars="200"/>
        <w:jc w:val="left"/>
        <w:textAlignment w:val="auto"/>
        <w:outlineLvl w:val="9"/>
        <w:rPr>
          <w:rFonts w:hint="eastAsia" w:ascii="仿宋" w:hAnsi="仿宋" w:eastAsia="仿宋"/>
          <w:bCs/>
          <w:color w:val="000000"/>
          <w:sz w:val="32"/>
          <w:szCs w:val="32"/>
        </w:rPr>
      </w:pPr>
      <w:r>
        <w:rPr>
          <w:rFonts w:hint="eastAsia" w:ascii="仿宋" w:hAnsi="仿宋" w:eastAsia="仿宋" w:cs="仿宋"/>
          <w:sz w:val="32"/>
          <w:szCs w:val="32"/>
          <w:lang w:val="en-US" w:eastAsia="zh-CN"/>
        </w:rPr>
        <w:t>根据《中华人民共和国公共服务保障法》、文化部、财政部《关于推进全国美术馆公共图书馆文化馆（站）免费开放工作的意见》（文财务发〔2011〕5号）、《四川省文化厅关于公共文化设施错时开放的实施意见》（川文办发〔2017〕449号）精神，为进一步提升公共文化设施的服务效能和服务质量，更好地发挥公共文化设施的公益作用，切实保障人民群众的基本文化权益，结合我馆实际，制定了《开江县文化馆2018年免费开放及错时开放工作实施方案》、《开江县文化馆免费开放及错时开放承诺书》、《开江县文化馆错时开放工作实施细则》、《开江县文化馆错时开放值班安排》等，上半年馆舞蹈排练厅、书画摄影展览厅、文艺培训中心、多功能培训厅共共开放312天，达3500小时，受惠群众达20000余人次。免费开放中2018年主要完成了社区舞蹈辅导、县党群系统舞蹈辅导、幼儿新苗舞蹈培训、美术书画培训、摄影培训各计15期，培训学员1500余人次。2018年主要开展的免费开放活动为：1月30日晚，县文化馆指导，县文化馆文艺培训中心承办的”艺绘童心·飞舞迎春”开江县2018少儿春节联欢晚会在开江县电影院倾情上演。元月22日至2月22日“多彩四季·文化开江”2018年新春少儿书画展在县文化馆展览厅展出，展出作品200余幅，观展人数近5000人。2月10日至3月2日“乐享四季·文化开江”2018迎新春非遗名录展在牛山寺森林公园展出，展出作品100余幅，观展人数近100000人次。5月29日至30日举办了“开江县社会文艺表演团队规范化培训班”，来自全县民间文艺演出团队负责人、村（社区）文艺宣传队负责人，各乡镇综合文化站站长，省、市非遗传承人等100余名学员参加了培训。9月12日，我县选送的广场舞《咏唱中国梦》获</w:t>
      </w:r>
      <w:r>
        <w:rPr>
          <w:rFonts w:hint="eastAsia" w:ascii="仿宋" w:hAnsi="仿宋" w:eastAsia="仿宋" w:cs="宋体"/>
          <w:color w:val="000000"/>
          <w:kern w:val="2"/>
          <w:sz w:val="32"/>
          <w:szCs w:val="32"/>
          <w:lang w:val="en-US" w:eastAsia="zh-CN"/>
        </w:rPr>
        <w:t>“越舞越好看—庆祝改革开放</w:t>
      </w:r>
      <w:r>
        <w:rPr>
          <w:rFonts w:hint="default" w:ascii="仿宋" w:hAnsi="仿宋" w:eastAsia="仿宋" w:cs="宋体"/>
          <w:color w:val="000000"/>
          <w:kern w:val="2"/>
          <w:sz w:val="32"/>
          <w:szCs w:val="32"/>
          <w:lang w:val="en-US" w:eastAsia="zh-CN"/>
        </w:rPr>
        <w:t>40</w:t>
      </w:r>
      <w:r>
        <w:rPr>
          <w:rFonts w:hint="eastAsia" w:ascii="仿宋" w:hAnsi="仿宋" w:eastAsia="仿宋" w:cs="宋体"/>
          <w:color w:val="000000"/>
          <w:kern w:val="2"/>
          <w:sz w:val="32"/>
          <w:szCs w:val="32"/>
          <w:lang w:val="en-US" w:eastAsia="zh-CN"/>
        </w:rPr>
        <w:t>周年群众广场舞展演达州市分会场”优秀奖。</w:t>
      </w:r>
      <w:r>
        <w:rPr>
          <w:rFonts w:hint="eastAsia" w:ascii="仿宋" w:hAnsi="仿宋" w:eastAsia="仿宋" w:cs="仿宋"/>
          <w:sz w:val="32"/>
          <w:szCs w:val="32"/>
          <w:lang w:val="en-US" w:eastAsia="zh-CN"/>
        </w:rPr>
        <w:t>同时，充分利用文化馆网站、公众微信号延伸公共文化服务，全年上传县文化馆网站和文化开江微信公众号的文字视频资料及信息共计38余条，其中信息被省级媒体采用3条，市级媒体采用16条，《达州市群众文艺》杂志采用8条，市文艺网采等用12余条。</w:t>
      </w:r>
    </w:p>
    <w:p>
      <w:pPr>
        <w:pStyle w:val="3"/>
        <w:rPr>
          <w:rStyle w:val="25"/>
          <w:b w:val="0"/>
          <w:bCs w:val="0"/>
        </w:rPr>
      </w:pPr>
      <w:bookmarkStart w:id="32" w:name="_Toc5772_WPSOffice_Level2"/>
      <w:bookmarkStart w:id="33" w:name="_Toc16692_WPSOffice_Level2"/>
      <w:bookmarkStart w:id="34" w:name="_Toc3573"/>
      <w:bookmarkStart w:id="35" w:name="_Toc18431_WPSOffice_Level2"/>
      <w:bookmarkStart w:id="36" w:name="_Toc15377200"/>
      <w:bookmarkStart w:id="37"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32"/>
      <w:bookmarkEnd w:id="33"/>
      <w:bookmarkEnd w:id="34"/>
      <w:bookmarkEnd w:id="35"/>
      <w:bookmarkEnd w:id="36"/>
      <w:bookmarkEnd w:id="37"/>
    </w:p>
    <w:p>
      <w:pPr>
        <w:spacing w:line="360" w:lineRule="auto"/>
        <w:ind w:firstLineChars="200"/>
        <w:rPr>
          <w:rFonts w:ascii="仿宋" w:hAnsi="仿宋" w:eastAsia="仿宋"/>
          <w:color w:val="000000"/>
          <w:kern w:val="0"/>
          <w:sz w:val="32"/>
          <w:szCs w:val="32"/>
        </w:rPr>
      </w:pPr>
      <w:r>
        <w:rPr>
          <w:rFonts w:hint="eastAsia" w:ascii="仿宋_GB2312" w:eastAsia="仿宋_GB2312"/>
          <w:color w:val="000000"/>
          <w:sz w:val="32"/>
          <w:szCs w:val="32"/>
        </w:rPr>
        <w:t xml:space="preserve">根据（开江府办发{2011}79号）文件，开江县文化馆事业编制11名，设馆长1名，副馆长2名，为县文广新局所属事业单位。内设有综合办公室、音乐舞蹈部、书画摄影部、戏曲文学部、文艺培训部、后勤保障部。 </w:t>
      </w:r>
    </w:p>
    <w:p>
      <w:pPr>
        <w:pStyle w:val="2"/>
        <w:ind w:right="440"/>
        <w:jc w:val="right"/>
        <w:rPr>
          <w:rFonts w:hint="eastAsia" w:eastAsia="宋体"/>
          <w:lang w:eastAsia="zh-CN"/>
        </w:rPr>
      </w:pPr>
      <w:bookmarkStart w:id="38" w:name="_Toc24571"/>
      <w:bookmarkStart w:id="39" w:name="_Toc8833_WPSOffice_Level1"/>
      <w:bookmarkStart w:id="40" w:name="_Toc24098_WPSOffice_Level1"/>
      <w:bookmarkStart w:id="41" w:name="_Toc15396602"/>
      <w:bookmarkStart w:id="42" w:name="_Toc31229_WPSOffice_Level1"/>
      <w:bookmarkStart w:id="4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38"/>
      <w:bookmarkEnd w:id="39"/>
      <w:bookmarkEnd w:id="40"/>
      <w:bookmarkEnd w:id="41"/>
      <w:bookmarkEnd w:id="42"/>
      <w:bookmarkEnd w:id="43"/>
    </w:p>
    <w:p>
      <w:pPr>
        <w:pStyle w:val="23"/>
        <w:numPr>
          <w:ilvl w:val="0"/>
          <w:numId w:val="1"/>
        </w:numPr>
        <w:spacing w:line="600" w:lineRule="exact"/>
        <w:ind w:firstLineChars="0"/>
        <w:outlineLvl w:val="1"/>
        <w:rPr>
          <w:rStyle w:val="25"/>
          <w:rFonts w:ascii="黑体" w:hAnsi="黑体" w:eastAsia="黑体"/>
          <w:b w:val="0"/>
        </w:rPr>
      </w:pPr>
      <w:bookmarkStart w:id="44" w:name="_Toc16174_WPSOffice_Level2"/>
      <w:bookmarkStart w:id="45" w:name="_Toc15377205"/>
      <w:bookmarkStart w:id="46" w:name="_Toc25_WPSOffice_Level2"/>
      <w:bookmarkStart w:id="47" w:name="_Toc31771_WPSOffice_Level2"/>
      <w:bookmarkStart w:id="48" w:name="_Toc2035"/>
      <w:bookmarkStart w:id="4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44"/>
      <w:bookmarkEnd w:id="45"/>
      <w:bookmarkEnd w:id="46"/>
      <w:bookmarkEnd w:id="47"/>
      <w:bookmarkEnd w:id="48"/>
      <w:bookmarkEnd w:id="4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250.01</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人员增资等。</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9264" behindDoc="0" locked="0" layoutInCell="1" allowOverlap="1">
            <wp:simplePos x="0" y="0"/>
            <wp:positionH relativeFrom="column">
              <wp:posOffset>215900</wp:posOffset>
            </wp:positionH>
            <wp:positionV relativeFrom="paragraph">
              <wp:posOffset>336550</wp:posOffset>
            </wp:positionV>
            <wp:extent cx="5080000" cy="3810000"/>
            <wp:effectExtent l="4445" t="4445" r="2095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50" w:name="_Toc15377206"/>
      <w:bookmarkStart w:id="51" w:name="_Toc1294_WPSOffice_Level2"/>
      <w:bookmarkStart w:id="52" w:name="_Toc18016"/>
      <w:bookmarkStart w:id="53" w:name="_Toc15396604"/>
      <w:bookmarkStart w:id="54" w:name="_Toc26685_WPSOffice_Level2"/>
      <w:bookmarkStart w:id="55" w:name="_Toc26430_WPSOffice_Level2"/>
      <w:r>
        <w:rPr>
          <w:rFonts w:hint="eastAsia" w:ascii="黑体" w:hAnsi="黑体" w:eastAsia="黑体"/>
          <w:color w:val="000000"/>
          <w:sz w:val="32"/>
          <w:szCs w:val="32"/>
        </w:rPr>
        <w:t>收</w:t>
      </w:r>
      <w:r>
        <w:rPr>
          <w:rStyle w:val="25"/>
          <w:rFonts w:hint="eastAsia" w:ascii="黑体" w:hAnsi="黑体" w:eastAsia="黑体"/>
          <w:b w:val="0"/>
        </w:rPr>
        <w:t>入决算情况说明</w:t>
      </w:r>
      <w:bookmarkEnd w:id="50"/>
      <w:bookmarkEnd w:id="51"/>
      <w:bookmarkEnd w:id="52"/>
      <w:bookmarkEnd w:id="53"/>
      <w:bookmarkEnd w:id="54"/>
      <w:bookmarkEnd w:id="55"/>
    </w:p>
    <w:p>
      <w:pPr>
        <w:rPr>
          <w:rFonts w:hint="eastAsia" w:ascii="仿宋" w:hAnsi="仿宋" w:eastAsia="仿宋"/>
          <w:color w:val="000000"/>
          <w:sz w:val="32"/>
          <w:szCs w:val="32"/>
          <w:lang w:eastAsia="zh-CN"/>
        </w:rPr>
      </w:pPr>
      <w:bookmarkStart w:id="56" w:name="_Toc30414"/>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224.91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224.91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；政府性基金预算财政拨款收入无；国有资本经营预算财政拨款收入无；事业收入无；经营收入无；附属单位上缴收入无；其他收入无</w:t>
      </w:r>
      <w:bookmarkEnd w:id="56"/>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388620</wp:posOffset>
            </wp:positionH>
            <wp:positionV relativeFrom="paragraph">
              <wp:posOffset>165100</wp:posOffset>
            </wp:positionV>
            <wp:extent cx="4951095" cy="3332480"/>
            <wp:effectExtent l="4445" t="4445" r="16510" b="1587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57" w:name="_Toc15396605"/>
      <w:bookmarkStart w:id="58" w:name="_Toc15377207"/>
      <w:bookmarkStart w:id="59" w:name="_Toc324_WPSOffice_Level2"/>
      <w:bookmarkStart w:id="60" w:name="_Toc31337_WPSOffice_Level2"/>
      <w:bookmarkStart w:id="61" w:name="_Toc13910"/>
      <w:bookmarkStart w:id="62" w:name="_Toc25093_WPSOffice_Level2"/>
      <w:r>
        <w:rPr>
          <w:rFonts w:hint="eastAsia" w:ascii="黑体" w:hAnsi="黑体" w:eastAsia="黑体"/>
          <w:color w:val="000000"/>
          <w:sz w:val="32"/>
          <w:szCs w:val="32"/>
        </w:rPr>
        <w:t>支</w:t>
      </w:r>
      <w:r>
        <w:rPr>
          <w:rStyle w:val="25"/>
          <w:rFonts w:hint="eastAsia" w:ascii="黑体" w:hAnsi="黑体" w:eastAsia="黑体"/>
          <w:b w:val="0"/>
        </w:rPr>
        <w:t>出决算情况说明</w:t>
      </w:r>
      <w:bookmarkEnd w:id="57"/>
      <w:bookmarkEnd w:id="58"/>
      <w:bookmarkEnd w:id="59"/>
      <w:bookmarkEnd w:id="60"/>
      <w:bookmarkEnd w:id="61"/>
      <w:bookmarkEnd w:id="62"/>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250.01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57.91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eastAsia="zh-CN"/>
        </w:rPr>
        <w:t>无</w:t>
      </w:r>
      <w:r>
        <w:rPr>
          <w:rFonts w:hint="eastAsia" w:ascii="仿宋" w:hAnsi="仿宋" w:eastAsia="仿宋"/>
          <w:color w:val="000000"/>
          <w:sz w:val="32"/>
          <w:szCs w:val="32"/>
        </w:rPr>
        <w:t>；经营支出</w:t>
      </w:r>
      <w:r>
        <w:rPr>
          <w:rFonts w:hint="eastAsia" w:ascii="仿宋" w:hAnsi="仿宋" w:eastAsia="仿宋"/>
          <w:color w:val="000000"/>
          <w:sz w:val="32"/>
          <w:szCs w:val="32"/>
          <w:lang w:eastAsia="zh-CN"/>
        </w:rPr>
        <w:t>无；</w:t>
      </w:r>
      <w:r>
        <w:rPr>
          <w:rFonts w:hint="eastAsia" w:ascii="仿宋" w:hAnsi="仿宋" w:eastAsia="仿宋"/>
          <w:color w:val="000000"/>
          <w:sz w:val="32"/>
          <w:szCs w:val="32"/>
        </w:rPr>
        <w:t>对附属单位补助支出无。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1312" behindDoc="0" locked="0" layoutInCell="1" allowOverlap="1">
            <wp:simplePos x="0" y="0"/>
            <wp:positionH relativeFrom="column">
              <wp:posOffset>422275</wp:posOffset>
            </wp:positionH>
            <wp:positionV relativeFrom="paragraph">
              <wp:posOffset>68580</wp:posOffset>
            </wp:positionV>
            <wp:extent cx="5080000" cy="2976245"/>
            <wp:effectExtent l="4445" t="4445" r="2095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63" w:name="_Toc2422"/>
      <w:bookmarkStart w:id="64" w:name="_Toc15377208"/>
      <w:bookmarkStart w:id="65" w:name="_Toc15396606"/>
      <w:bookmarkStart w:id="66" w:name="_Toc19965_WPSOffice_Level2"/>
      <w:bookmarkStart w:id="67" w:name="_Toc12359_WPSOffice_Level2"/>
      <w:bookmarkStart w:id="68" w:name="_Toc15267_WPSOffice_Level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63"/>
      <w:bookmarkEnd w:id="64"/>
      <w:bookmarkEnd w:id="65"/>
      <w:bookmarkEnd w:id="66"/>
      <w:bookmarkEnd w:id="67"/>
      <w:bookmarkEnd w:id="6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250.01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7年相比，财政拨款收、支总计增加</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万元，增</w:t>
      </w:r>
      <w:r>
        <w:rPr>
          <w:rFonts w:hint="eastAsia" w:ascii="仿宋" w:hAnsi="仿宋" w:eastAsia="仿宋"/>
          <w:color w:val="000000"/>
          <w:sz w:val="32"/>
          <w:szCs w:val="32"/>
          <w:lang w:eastAsia="zh-CN"/>
        </w:rPr>
        <w:t>长</w:t>
      </w:r>
      <w:r>
        <w:rPr>
          <w:rFonts w:hint="eastAsia" w:ascii="仿宋" w:hAnsi="仿宋" w:eastAsia="仿宋"/>
          <w:color w:val="000000"/>
          <w:sz w:val="32"/>
          <w:szCs w:val="32"/>
          <w:lang w:val="en-US" w:eastAsia="zh-CN"/>
        </w:rPr>
        <w:t>4.79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人员增资等。</w:t>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69" w:name="_Toc19516_WPSOffice_Level2"/>
      <w:bookmarkStart w:id="70" w:name="_Toc15396607"/>
      <w:bookmarkStart w:id="71" w:name="_Toc15377209"/>
      <w:bookmarkStart w:id="72" w:name="_Toc25327_WPSOffice_Level2"/>
      <w:bookmarkStart w:id="73" w:name="_Toc3683"/>
      <w:bookmarkStart w:id="74" w:name="_Toc28254_WPSOffice_Level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69"/>
      <w:bookmarkEnd w:id="70"/>
      <w:bookmarkEnd w:id="71"/>
      <w:bookmarkEnd w:id="72"/>
      <w:bookmarkEnd w:id="73"/>
      <w:bookmarkEnd w:id="74"/>
    </w:p>
    <w:p>
      <w:pPr>
        <w:spacing w:line="600" w:lineRule="exact"/>
        <w:ind w:firstLine="643" w:firstLineChars="200"/>
        <w:outlineLvl w:val="2"/>
        <w:rPr>
          <w:rFonts w:ascii="仿宋" w:hAnsi="仿宋" w:eastAsia="仿宋"/>
          <w:b/>
          <w:color w:val="000000"/>
          <w:sz w:val="32"/>
          <w:szCs w:val="32"/>
        </w:rPr>
      </w:pPr>
      <w:bookmarkStart w:id="75" w:name="_Toc15377210"/>
      <w:bookmarkStart w:id="76" w:name="_Toc10849"/>
      <w:r>
        <w:rPr>
          <w:rFonts w:hint="eastAsia" w:ascii="仿宋" w:hAnsi="仿宋" w:eastAsia="仿宋"/>
          <w:b/>
          <w:color w:val="000000"/>
          <w:sz w:val="32"/>
          <w:szCs w:val="32"/>
        </w:rPr>
        <w:t>（一）一般公共预算财政拨款支出决算总体情况</w:t>
      </w:r>
      <w:bookmarkEnd w:id="75"/>
      <w:bookmarkEnd w:id="76"/>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250.01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：人员增资等。</w:t>
      </w:r>
    </w:p>
    <w:p>
      <w:pPr>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br w:type="page"/>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454025</wp:posOffset>
            </wp:positionH>
            <wp:positionV relativeFrom="paragraph">
              <wp:posOffset>149225</wp:posOffset>
            </wp:positionV>
            <wp:extent cx="5080000" cy="2835910"/>
            <wp:effectExtent l="4445" t="4445" r="20955"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outlineLvl w:val="2"/>
        <w:rPr>
          <w:rFonts w:hint="eastAsia" w:ascii="仿宋" w:hAnsi="仿宋" w:eastAsia="仿宋"/>
          <w:b/>
          <w:color w:val="000000"/>
          <w:sz w:val="32"/>
          <w:szCs w:val="32"/>
        </w:rPr>
      </w:pPr>
      <w:bookmarkStart w:id="77" w:name="_Toc15377211"/>
    </w:p>
    <w:p>
      <w:pPr>
        <w:spacing w:line="600" w:lineRule="exact"/>
        <w:ind w:firstLine="643" w:firstLineChars="200"/>
        <w:outlineLvl w:val="2"/>
        <w:rPr>
          <w:rFonts w:ascii="仿宋" w:hAnsi="仿宋" w:eastAsia="仿宋"/>
          <w:b/>
          <w:color w:val="000000"/>
          <w:sz w:val="32"/>
          <w:szCs w:val="32"/>
        </w:rPr>
      </w:pPr>
      <w:bookmarkStart w:id="78" w:name="_Toc9474"/>
      <w:r>
        <w:rPr>
          <w:rFonts w:hint="eastAsia" w:ascii="仿宋" w:hAnsi="仿宋" w:eastAsia="仿宋"/>
          <w:b/>
          <w:color w:val="000000"/>
          <w:sz w:val="32"/>
          <w:szCs w:val="32"/>
        </w:rPr>
        <w:t>（二）一般公共预算财政拨款支出决算结构情况</w:t>
      </w:r>
      <w:bookmarkEnd w:id="77"/>
      <w:bookmarkEnd w:id="78"/>
    </w:p>
    <w:p>
      <w:pPr>
        <w:spacing w:line="600" w:lineRule="exact"/>
        <w:ind w:firstLine="640"/>
        <w:rPr>
          <w:rFonts w:hint="eastAsia" w:ascii="仿宋" w:hAnsi="仿宋" w:eastAsia="仿宋"/>
          <w:b/>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250.01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206.58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24.77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6.56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410845</wp:posOffset>
            </wp:positionH>
            <wp:positionV relativeFrom="paragraph">
              <wp:posOffset>-2167255</wp:posOffset>
            </wp:positionV>
            <wp:extent cx="5069205" cy="2553970"/>
            <wp:effectExtent l="4445" t="4445" r="12700"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79" w:name="_Toc15377212"/>
      <w:bookmarkStart w:id="80" w:name="_Toc7294"/>
      <w:r>
        <w:rPr>
          <w:rFonts w:hint="eastAsia" w:ascii="仿宋" w:hAnsi="仿宋" w:eastAsia="仿宋"/>
          <w:b/>
          <w:color w:val="000000"/>
          <w:sz w:val="32"/>
          <w:szCs w:val="32"/>
        </w:rPr>
        <w:t>（三）一般公共预算财政拨款支出决算具体情况</w:t>
      </w:r>
      <w:bookmarkEnd w:id="79"/>
      <w:bookmarkEnd w:id="80"/>
    </w:p>
    <w:p>
      <w:pPr>
        <w:spacing w:line="600" w:lineRule="exact"/>
        <w:ind w:firstLine="643" w:firstLineChars="200"/>
        <w:outlineLvl w:val="2"/>
        <w:rPr>
          <w:rFonts w:ascii="仿宋" w:hAnsi="仿宋" w:eastAsia="仿宋"/>
          <w:color w:val="FF0000"/>
          <w:sz w:val="32"/>
          <w:szCs w:val="32"/>
        </w:rPr>
      </w:pPr>
      <w:bookmarkStart w:id="81" w:name="_Toc15377213"/>
      <w:bookmarkStart w:id="82" w:name="_Toc15377444"/>
      <w:bookmarkStart w:id="83" w:name="_Toc15378460"/>
      <w:bookmarkStart w:id="84" w:name="_Toc18015"/>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250.01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81"/>
      <w:bookmarkEnd w:id="82"/>
      <w:bookmarkEnd w:id="83"/>
      <w:bookmarkEnd w:id="84"/>
    </w:p>
    <w:p>
      <w:pPr>
        <w:spacing w:line="600" w:lineRule="exact"/>
        <w:ind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文化体育与传媒（类）</w:t>
      </w:r>
      <w:r>
        <w:rPr>
          <w:rStyle w:val="14"/>
          <w:rFonts w:hint="eastAsia" w:ascii="仿宋" w:hAnsi="仿宋" w:eastAsia="仿宋"/>
          <w:bCs/>
          <w:color w:val="000000"/>
          <w:sz w:val="32"/>
          <w:szCs w:val="32"/>
          <w:lang w:val="en-US" w:eastAsia="zh-CN"/>
        </w:rPr>
        <w:t>文化</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群众文化</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206.58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行政事业单位离退休</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24.77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行政事业单位医疗</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6.56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_GB2312" w:eastAsia="仿宋_GB2312"/>
          <w:bCs w:val="0"/>
          <w:color w:val="000000"/>
          <w:sz w:val="32"/>
          <w:szCs w:val="32"/>
          <w:lang w:val="en-US" w:eastAsia="zh-CN"/>
        </w:rPr>
        <w:t>4</w:t>
      </w:r>
      <w:r>
        <w:rPr>
          <w:rStyle w:val="14"/>
          <w:rFonts w:hint="eastAsia" w:ascii="仿宋_GB2312" w:eastAsia="仿宋_GB2312"/>
          <w:bCs w:val="0"/>
          <w:color w:val="000000"/>
          <w:sz w:val="32"/>
          <w:szCs w:val="32"/>
        </w:rPr>
        <w:t>.住房保障221（类）</w:t>
      </w:r>
      <w:r>
        <w:rPr>
          <w:rStyle w:val="14"/>
          <w:rFonts w:ascii="仿宋" w:hAnsi="仿宋" w:eastAsia="仿宋"/>
          <w:bCs/>
          <w:color w:val="000000"/>
          <w:sz w:val="32"/>
          <w:szCs w:val="32"/>
        </w:rPr>
        <w:t>住房改革支出</w:t>
      </w:r>
      <w:r>
        <w:rPr>
          <w:rStyle w:val="14"/>
          <w:rFonts w:hint="eastAsia" w:ascii="仿宋_GB2312" w:eastAsia="仿宋_GB2312"/>
          <w:bCs w:val="0"/>
          <w:color w:val="000000"/>
          <w:sz w:val="32"/>
          <w:szCs w:val="32"/>
        </w:rPr>
        <w:t>（款）</w:t>
      </w:r>
      <w:r>
        <w:rPr>
          <w:rStyle w:val="14"/>
          <w:rFonts w:ascii="仿宋" w:hAnsi="仿宋" w:eastAsia="仿宋"/>
          <w:bCs/>
          <w:color w:val="000000"/>
          <w:sz w:val="32"/>
          <w:szCs w:val="32"/>
        </w:rPr>
        <w:t>住房公积金</w:t>
      </w:r>
      <w:r>
        <w:rPr>
          <w:rStyle w:val="14"/>
          <w:rFonts w:hint="eastAsia" w:ascii="仿宋_GB2312" w:eastAsia="仿宋_GB2312"/>
          <w:bCs w:val="0"/>
          <w:color w:val="000000"/>
          <w:sz w:val="32"/>
          <w:szCs w:val="32"/>
        </w:rPr>
        <w:t>（项）：</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12.10</w:t>
      </w:r>
      <w:r>
        <w:rPr>
          <w:rStyle w:val="14"/>
          <w:rFonts w:hint="eastAsia" w:ascii="仿宋_GB2312" w:eastAsia="仿宋_GB2312"/>
          <w:b w:val="0"/>
          <w:color w:val="000000"/>
          <w:sz w:val="32"/>
          <w:szCs w:val="32"/>
        </w:rPr>
        <w:t>万元，完成预算100%。</w:t>
      </w:r>
    </w:p>
    <w:p>
      <w:pPr>
        <w:tabs>
          <w:tab w:val="right" w:pos="8306"/>
        </w:tabs>
        <w:spacing w:line="600" w:lineRule="exact"/>
        <w:ind w:firstLine="640"/>
        <w:outlineLvl w:val="1"/>
        <w:rPr>
          <w:rStyle w:val="25"/>
        </w:rPr>
      </w:pPr>
      <w:bookmarkStart w:id="85" w:name="_Toc15396608"/>
      <w:bookmarkStart w:id="86" w:name="_Toc15377214"/>
      <w:bookmarkStart w:id="87" w:name="_Toc30627_WPSOffice_Level2"/>
      <w:bookmarkStart w:id="88" w:name="_Toc32639_WPSOffice_Level2"/>
      <w:bookmarkStart w:id="89" w:name="_Toc13516_WPSOffice_Level2"/>
      <w:bookmarkStart w:id="90" w:name="_Toc113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85"/>
      <w:bookmarkEnd w:id="86"/>
      <w:bookmarkEnd w:id="87"/>
      <w:bookmarkEnd w:id="88"/>
      <w:bookmarkEnd w:id="89"/>
      <w:bookmarkEnd w:id="90"/>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250.01</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226.06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23.95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91" w:name="_Toc15396609"/>
      <w:bookmarkStart w:id="92" w:name="_Toc15377215"/>
      <w:bookmarkStart w:id="93" w:name="_Toc4037_WPSOffice_Level2"/>
      <w:bookmarkStart w:id="94" w:name="_Toc29030_WPSOffice_Level2"/>
      <w:bookmarkStart w:id="95" w:name="_Toc11647_WPSOffice_Level2"/>
      <w:bookmarkStart w:id="96" w:name="_Toc4364"/>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91"/>
      <w:bookmarkEnd w:id="92"/>
      <w:bookmarkEnd w:id="93"/>
      <w:bookmarkEnd w:id="94"/>
      <w:bookmarkEnd w:id="95"/>
      <w:bookmarkEnd w:id="96"/>
    </w:p>
    <w:p>
      <w:pPr>
        <w:spacing w:line="600" w:lineRule="exact"/>
        <w:ind w:firstLine="640"/>
        <w:outlineLvl w:val="2"/>
        <w:rPr>
          <w:rFonts w:ascii="仿宋" w:hAnsi="仿宋" w:eastAsia="仿宋"/>
          <w:b/>
          <w:color w:val="000000"/>
          <w:sz w:val="32"/>
          <w:szCs w:val="32"/>
        </w:rPr>
      </w:pPr>
      <w:bookmarkStart w:id="97" w:name="_Toc15377216"/>
      <w:bookmarkStart w:id="98" w:name="_Toc26876"/>
      <w:r>
        <w:rPr>
          <w:rFonts w:hint="eastAsia" w:ascii="仿宋" w:hAnsi="仿宋" w:eastAsia="仿宋"/>
          <w:b/>
          <w:color w:val="000000"/>
          <w:sz w:val="32"/>
          <w:szCs w:val="32"/>
        </w:rPr>
        <w:t>（一）“三公”经费财政拨款支出决算总体情况说明</w:t>
      </w:r>
      <w:bookmarkEnd w:id="97"/>
      <w:bookmarkEnd w:id="9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1.67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，与预算数</w:t>
      </w:r>
      <w:r>
        <w:rPr>
          <w:rFonts w:hint="eastAsia" w:ascii="仿宋" w:hAnsi="仿宋" w:eastAsia="仿宋"/>
          <w:color w:val="000000"/>
          <w:sz w:val="32"/>
          <w:szCs w:val="32"/>
          <w:lang w:eastAsia="zh-CN"/>
        </w:rPr>
        <w:t>基本</w:t>
      </w:r>
      <w:r>
        <w:rPr>
          <w:rFonts w:hint="eastAsia" w:ascii="仿宋" w:hAnsi="仿宋" w:eastAsia="仿宋"/>
          <w:color w:val="000000"/>
          <w:sz w:val="32"/>
          <w:szCs w:val="32"/>
        </w:rPr>
        <w:t>持平。</w:t>
      </w:r>
    </w:p>
    <w:p>
      <w:pPr>
        <w:spacing w:line="600" w:lineRule="exact"/>
        <w:ind w:firstLine="640"/>
        <w:outlineLvl w:val="2"/>
        <w:rPr>
          <w:rFonts w:ascii="仿宋" w:hAnsi="仿宋" w:eastAsia="仿宋"/>
          <w:b/>
          <w:color w:val="000000"/>
          <w:sz w:val="32"/>
          <w:szCs w:val="32"/>
        </w:rPr>
      </w:pPr>
      <w:bookmarkStart w:id="99" w:name="_Toc15377217"/>
      <w:bookmarkStart w:id="100" w:name="_Toc12626"/>
      <w:r>
        <w:rPr>
          <w:rFonts w:hint="eastAsia" w:ascii="仿宋" w:hAnsi="仿宋" w:eastAsia="仿宋"/>
          <w:b/>
          <w:color w:val="000000"/>
          <w:sz w:val="32"/>
          <w:szCs w:val="32"/>
        </w:rPr>
        <w:t>（二）“三公”经费财政拨款支出决算具体情况说明</w:t>
      </w:r>
      <w:bookmarkEnd w:id="99"/>
      <w:bookmarkEnd w:id="10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149225</wp:posOffset>
            </wp:positionV>
            <wp:extent cx="4799330" cy="2066925"/>
            <wp:effectExtent l="4445" t="5080" r="15875" b="444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文化惠民文艺演出进基层</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auto"/>
          <w:sz w:val="32"/>
          <w:szCs w:val="32"/>
          <w:lang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0.17</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90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eastAsia="zh-CN"/>
        </w:rPr>
        <w:t>与</w:t>
      </w:r>
      <w:r>
        <w:rPr>
          <w:rFonts w:ascii="仿宋_GB2312" w:eastAsia="仿宋_GB2312"/>
          <w:color w:val="auto"/>
          <w:sz w:val="32"/>
          <w:szCs w:val="32"/>
        </w:rPr>
        <w:t>201</w:t>
      </w:r>
      <w:r>
        <w:rPr>
          <w:rFonts w:hint="eastAsia" w:ascii="仿宋_GB2312" w:eastAsia="仿宋_GB2312"/>
          <w:color w:val="auto"/>
          <w:sz w:val="32"/>
          <w:szCs w:val="32"/>
        </w:rPr>
        <w:t>7年</w:t>
      </w:r>
      <w:r>
        <w:rPr>
          <w:rFonts w:hint="eastAsia" w:ascii="仿宋_GB2312" w:eastAsia="仿宋_GB2312"/>
          <w:color w:val="auto"/>
          <w:sz w:val="32"/>
          <w:szCs w:val="32"/>
          <w:lang w:eastAsia="zh-CN"/>
        </w:rPr>
        <w:t>基本持平。</w:t>
      </w:r>
    </w:p>
    <w:p>
      <w:pPr>
        <w:spacing w:line="600" w:lineRule="exact"/>
        <w:ind w:firstLine="640" w:firstLineChars="200"/>
        <w:rPr>
          <w:rFonts w:hint="eastAsia" w:ascii="黑体" w:eastAsia="仿宋_GB2312"/>
          <w:color w:val="auto"/>
          <w:sz w:val="32"/>
          <w:szCs w:val="32"/>
          <w:lang w:eastAsia="zh-CN"/>
        </w:rPr>
      </w:pPr>
      <w:r>
        <w:rPr>
          <w:rFonts w:hint="eastAsia" w:ascii="仿宋_GB2312" w:eastAsia="仿宋_GB2312"/>
          <w:color w:val="auto"/>
          <w:sz w:val="32"/>
          <w:szCs w:val="32"/>
        </w:rPr>
        <w:t>主要用于执行公务、开展业务活动开支的交通费、住宿费、用餐费等。国内公务接待</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38</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0.17</w:t>
      </w:r>
      <w:r>
        <w:rPr>
          <w:rFonts w:hint="eastAsia" w:ascii="仿宋_GB2312" w:eastAsia="仿宋_GB2312"/>
          <w:color w:val="auto"/>
          <w:sz w:val="32"/>
          <w:szCs w:val="32"/>
        </w:rPr>
        <w:t>万元</w:t>
      </w:r>
      <w:bookmarkStart w:id="101" w:name="_Toc15396610"/>
      <w:bookmarkStart w:id="102" w:name="_Toc15377218"/>
      <w:r>
        <w:rPr>
          <w:rFonts w:hint="eastAsia" w:ascii="仿宋_GB2312" w:eastAsia="仿宋_GB2312"/>
          <w:color w:val="auto"/>
          <w:sz w:val="32"/>
          <w:szCs w:val="32"/>
          <w:lang w:eastAsia="zh-CN"/>
        </w:rPr>
        <w:t>。</w:t>
      </w:r>
    </w:p>
    <w:p>
      <w:pPr>
        <w:spacing w:line="600" w:lineRule="exact"/>
        <w:ind w:firstLine="640"/>
        <w:outlineLvl w:val="1"/>
        <w:rPr>
          <w:rStyle w:val="25"/>
          <w:rFonts w:ascii="黑体" w:hAnsi="黑体" w:eastAsia="黑体"/>
        </w:rPr>
      </w:pPr>
      <w:bookmarkStart w:id="103" w:name="_Toc28618_WPSOffice_Level2"/>
      <w:bookmarkStart w:id="104" w:name="_Toc2076_WPSOffice_Level2"/>
      <w:bookmarkStart w:id="105" w:name="_Toc22366_WPSOffice_Level2"/>
      <w:bookmarkStart w:id="106" w:name="_Toc19343"/>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101"/>
      <w:bookmarkEnd w:id="102"/>
      <w:bookmarkEnd w:id="103"/>
      <w:bookmarkEnd w:id="104"/>
      <w:bookmarkEnd w:id="105"/>
      <w:bookmarkEnd w:id="10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107" w:name="_Toc15377219"/>
      <w:bookmarkStart w:id="108" w:name="_Toc15396611"/>
      <w:bookmarkStart w:id="109" w:name="_Toc12331_WPSOffice_Level2"/>
      <w:bookmarkStart w:id="110" w:name="_Toc29994_WPSOffice_Level2"/>
      <w:bookmarkStart w:id="111" w:name="_Toc30217_WPSOffice_Level2"/>
      <w:bookmarkStart w:id="112" w:name="_Toc14343"/>
      <w:r>
        <w:rPr>
          <w:rStyle w:val="25"/>
          <w:rFonts w:hint="eastAsia" w:ascii="黑体" w:hAnsi="黑体" w:eastAsia="黑体"/>
          <w:b w:val="0"/>
        </w:rPr>
        <w:t>国有资本经营预算支出决算情况说明</w:t>
      </w:r>
      <w:bookmarkEnd w:id="107"/>
      <w:bookmarkEnd w:id="108"/>
      <w:bookmarkEnd w:id="109"/>
      <w:bookmarkEnd w:id="110"/>
      <w:bookmarkEnd w:id="111"/>
      <w:bookmarkEnd w:id="112"/>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bookmarkStart w:id="113" w:name="_Toc15377221"/>
      <w:bookmarkStart w:id="114" w:name="_Toc15396612"/>
      <w:bookmarkStart w:id="115" w:name="_Toc168_WPSOffice_Level2"/>
      <w:bookmarkStart w:id="116" w:name="_Toc30498_WPSOffice_Level2"/>
      <w:bookmarkStart w:id="117" w:name="_Toc31907_WPSOffice_Level2"/>
      <w:bookmarkStart w:id="118" w:name="_Toc16965"/>
      <w:r>
        <w:rPr>
          <w:rFonts w:hint="eastAsia" w:ascii="仿宋" w:hAnsi="仿宋" w:eastAsia="仿宋" w:cs="楷体_GB2312"/>
          <w:b/>
          <w:bCs/>
          <w:sz w:val="32"/>
          <w:szCs w:val="32"/>
        </w:rPr>
        <w:t>绩效管理工</w:t>
      </w: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文化馆免费开放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本部门按要求对2018年部门整体支出开展绩效自评，从评价情况来看我部门预算编制、执行、管理严格按照程序进行支出符合部门预算批复的用途，无截留、挤占、挪用、虚列支出等情况。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本部门在2018年度部门决算中反映“免费开放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28.2万元、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lang w:val="en-US" w:eastAsia="zh-CN"/>
        </w:rPr>
        <w:t>312天免费对广大群众按时开放，</w:t>
      </w:r>
      <w:r>
        <w:rPr>
          <w:rFonts w:hint="eastAsia" w:ascii="仿宋_GB2312" w:eastAsia="仿宋_GB2312"/>
          <w:color w:val="000000"/>
          <w:sz w:val="32"/>
          <w:szCs w:val="32"/>
        </w:rPr>
        <w:t>举办各类艺术展览活动</w:t>
      </w:r>
      <w:r>
        <w:rPr>
          <w:rFonts w:hint="eastAsia" w:ascii="仿宋_GB2312" w:eastAsia="仿宋_GB2312"/>
          <w:color w:val="000000"/>
          <w:sz w:val="32"/>
          <w:szCs w:val="32"/>
          <w:lang w:eastAsia="zh-CN"/>
        </w:rPr>
        <w:t>，</w:t>
      </w:r>
      <w:r>
        <w:rPr>
          <w:rFonts w:hint="eastAsia" w:ascii="仿宋_GB2312" w:eastAsia="仿宋_GB2312"/>
          <w:color w:val="000000"/>
          <w:sz w:val="32"/>
          <w:szCs w:val="32"/>
        </w:rPr>
        <w:t>开展区域内非物质文化遗产的收集、整理、申报及保护等工作。</w:t>
      </w:r>
      <w:r>
        <w:rPr>
          <w:rFonts w:hint="eastAsia" w:ascii="仿宋_GB2312" w:hAnsi="仿宋_GB2312" w:eastAsia="仿宋_GB2312" w:cs="仿宋_GB2312"/>
          <w:sz w:val="32"/>
          <w:szCs w:val="32"/>
          <w:lang w:val="en-US" w:eastAsia="zh-CN"/>
        </w:rPr>
        <w:t>提升全县文化质量，促进社会和谐。</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免费开放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开江县</w:t>
            </w:r>
            <w:r>
              <w:rPr>
                <w:rFonts w:hint="eastAsia" w:ascii="宋体" w:hAnsi="宋体" w:cs="宋体"/>
                <w:color w:val="000000"/>
                <w:sz w:val="24"/>
                <w:lang w:eastAsia="zh-CN"/>
              </w:rPr>
              <w:t>文化馆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4"/>
                <w:szCs w:val="24"/>
                <w:lang w:val="en-US" w:eastAsia="zh-CN"/>
              </w:rPr>
              <w:t>本年度县文化馆预计免费开放312天，时达3500小时，常年举办各类群众文化活动、展览及培训。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本年</w:t>
            </w:r>
            <w:r>
              <w:rPr>
                <w:rFonts w:hint="eastAsia" w:ascii="仿宋" w:hAnsi="仿宋" w:eastAsia="仿宋" w:cs="仿宋"/>
                <w:sz w:val="24"/>
                <w:szCs w:val="24"/>
                <w:lang w:val="en-US" w:eastAsia="zh-CN"/>
              </w:rPr>
              <w:t>本年度县文化馆免完成费开放共328天，时达3500小时，常年举办各类群众文化活动、展览及培训、受惠群众达80000余人次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为广大市民免费开放，预计</w:t>
            </w:r>
            <w:r>
              <w:rPr>
                <w:rFonts w:hint="eastAsia" w:ascii="宋体" w:hAnsi="宋体" w:cs="宋体"/>
                <w:color w:val="000000"/>
                <w:sz w:val="21"/>
                <w:szCs w:val="21"/>
                <w:lang w:eastAsia="zh-CN"/>
              </w:rPr>
              <w:t>接待</w:t>
            </w:r>
            <w:r>
              <w:rPr>
                <w:rFonts w:hint="eastAsia" w:ascii="宋体" w:hAnsi="宋体" w:cs="宋体"/>
                <w:color w:val="000000"/>
                <w:sz w:val="21"/>
                <w:szCs w:val="21"/>
              </w:rPr>
              <w:t>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val="en-US" w:eastAsia="zh-CN"/>
              </w:rPr>
              <w:t>接待</w:t>
            </w:r>
            <w:r>
              <w:rPr>
                <w:rFonts w:hint="eastAsia" w:ascii="宋体" w:hAnsi="宋体" w:cs="宋体"/>
                <w:color w:val="000000"/>
                <w:sz w:val="21"/>
                <w:szCs w:val="21"/>
                <w:lang w:eastAsia="zh-CN"/>
              </w:rPr>
              <w:t>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6</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天免费开放，并</w:t>
            </w:r>
            <w:r>
              <w:rPr>
                <w:rFonts w:hint="eastAsia" w:ascii="宋体" w:hAnsi="宋体" w:cs="宋体"/>
                <w:color w:val="000000"/>
                <w:sz w:val="21"/>
                <w:szCs w:val="21"/>
                <w:lang w:eastAsia="zh-CN"/>
              </w:rPr>
              <w:t>接待人数</w:t>
            </w:r>
            <w:r>
              <w:rPr>
                <w:rFonts w:hint="eastAsia" w:ascii="宋体" w:hAnsi="宋体" w:cs="宋体"/>
                <w:color w:val="000000"/>
                <w:sz w:val="21"/>
                <w:szCs w:val="21"/>
                <w:lang w:val="en-US" w:eastAsia="zh-CN"/>
              </w:rPr>
              <w:t>8</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逐步增加</w:t>
            </w:r>
            <w:r>
              <w:rPr>
                <w:rFonts w:hint="eastAsia" w:ascii="宋体" w:hAnsi="宋体" w:cs="宋体"/>
                <w:color w:val="000000"/>
                <w:sz w:val="21"/>
                <w:szCs w:val="21"/>
                <w:lang w:eastAsia="zh-CN"/>
              </w:rPr>
              <w:t>群众文化项目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eastAsia="zh-CN"/>
              </w:rPr>
              <w:t>接待人数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4</w:t>
            </w:r>
            <w:r>
              <w:rPr>
                <w:rFonts w:hint="eastAsia" w:ascii="宋体" w:hAnsi="宋体" w:cs="宋体"/>
                <w:color w:val="000000"/>
                <w:sz w:val="21"/>
                <w:szCs w:val="21"/>
              </w:rPr>
              <w:t>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1"/>
                <w:szCs w:val="21"/>
              </w:rPr>
            </w:pPr>
            <w:r>
              <w:rPr>
                <w:rFonts w:hint="eastAsia" w:ascii="宋体" w:hAnsi="宋体" w:cs="宋体"/>
                <w:color w:val="000000"/>
                <w:sz w:val="21"/>
                <w:szCs w:val="21"/>
              </w:rPr>
              <w:t>全年</w:t>
            </w:r>
            <w:r>
              <w:rPr>
                <w:rFonts w:hint="eastAsia" w:ascii="宋体" w:hAnsi="宋体" w:cs="宋体"/>
                <w:color w:val="000000"/>
                <w:sz w:val="21"/>
                <w:szCs w:val="21"/>
                <w:lang w:val="en-US" w:eastAsia="zh-CN"/>
              </w:rPr>
              <w:t>312</w:t>
            </w:r>
            <w:r>
              <w:rPr>
                <w:rFonts w:hint="eastAsia" w:ascii="宋体" w:hAnsi="宋体" w:cs="宋体"/>
                <w:color w:val="000000"/>
                <w:sz w:val="21"/>
                <w:szCs w:val="21"/>
              </w:rPr>
              <w:t>天免费开放，</w:t>
            </w:r>
            <w:r>
              <w:rPr>
                <w:rFonts w:hint="eastAsia" w:ascii="宋体" w:hAnsi="宋体" w:cs="宋体"/>
                <w:color w:val="000000"/>
                <w:sz w:val="21"/>
                <w:szCs w:val="21"/>
                <w:lang w:eastAsia="zh-CN"/>
              </w:rPr>
              <w:t>接待人数</w:t>
            </w:r>
            <w:r>
              <w:rPr>
                <w:rFonts w:hint="eastAsia" w:ascii="宋体" w:hAnsi="宋体" w:cs="宋体"/>
                <w:color w:val="000000"/>
                <w:sz w:val="21"/>
                <w:szCs w:val="21"/>
              </w:rPr>
              <w:t>不少于</w:t>
            </w:r>
            <w:r>
              <w:rPr>
                <w:rFonts w:hint="eastAsia" w:ascii="宋体" w:hAnsi="宋体" w:cs="宋体"/>
                <w:color w:val="000000"/>
                <w:sz w:val="21"/>
                <w:szCs w:val="21"/>
                <w:lang w:val="en-US" w:eastAsia="zh-CN"/>
              </w:rPr>
              <w:t>5</w:t>
            </w:r>
            <w:r>
              <w:rPr>
                <w:rFonts w:hint="eastAsia" w:ascii="宋体" w:hAnsi="宋体" w:cs="宋体"/>
                <w:color w:val="000000"/>
                <w:sz w:val="21"/>
                <w:szCs w:val="21"/>
              </w:rPr>
              <w:t>万</w:t>
            </w:r>
            <w:r>
              <w:rPr>
                <w:rFonts w:hint="eastAsia" w:ascii="宋体" w:hAnsi="宋体" w:cs="宋体"/>
                <w:color w:val="000000"/>
                <w:sz w:val="21"/>
                <w:szCs w:val="21"/>
                <w:lang w:eastAsia="zh-CN"/>
              </w:rPr>
              <w:t>余</w:t>
            </w:r>
            <w:r>
              <w:rPr>
                <w:rFonts w:hint="eastAsia" w:ascii="宋体" w:hAnsi="宋体" w:cs="宋体"/>
                <w:color w:val="000000"/>
                <w:sz w:val="21"/>
                <w:szCs w:val="21"/>
              </w:rPr>
              <w:t>人次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确保</w:t>
            </w:r>
            <w:r>
              <w:rPr>
                <w:rFonts w:hint="eastAsia" w:ascii="宋体" w:hAnsi="宋体" w:cs="宋体"/>
                <w:color w:val="000000"/>
                <w:sz w:val="21"/>
                <w:szCs w:val="21"/>
                <w:lang w:eastAsia="zh-CN"/>
              </w:rPr>
              <w:t>免费</w:t>
            </w:r>
            <w:r>
              <w:rPr>
                <w:rFonts w:hint="eastAsia" w:ascii="宋体" w:hAnsi="宋体" w:cs="宋体"/>
                <w:color w:val="000000"/>
                <w:sz w:val="21"/>
                <w:szCs w:val="21"/>
              </w:rPr>
              <w:t>开放，为市民提</w:t>
            </w:r>
            <w:r>
              <w:rPr>
                <w:rFonts w:hint="eastAsia" w:ascii="宋体" w:hAnsi="宋体" w:cs="宋体"/>
                <w:color w:val="000000"/>
                <w:sz w:val="21"/>
                <w:szCs w:val="21"/>
                <w:lang w:eastAsia="zh-CN"/>
              </w:rPr>
              <w:t>供优质的文化服务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确保</w:t>
            </w:r>
            <w:r>
              <w:rPr>
                <w:rFonts w:hint="eastAsia" w:ascii="宋体" w:hAnsi="宋体" w:cs="宋体"/>
                <w:color w:val="000000"/>
                <w:sz w:val="21"/>
                <w:szCs w:val="21"/>
                <w:lang w:eastAsia="zh-CN"/>
              </w:rPr>
              <w:t>群众文化</w:t>
            </w:r>
            <w:r>
              <w:rPr>
                <w:rFonts w:hint="eastAsia" w:ascii="宋体" w:hAnsi="宋体" w:cs="宋体"/>
                <w:color w:val="000000"/>
                <w:sz w:val="21"/>
                <w:szCs w:val="21"/>
              </w:rPr>
              <w:t>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确保了群众文化服务质量</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按时开</w:t>
            </w:r>
            <w:r>
              <w:rPr>
                <w:rFonts w:hint="eastAsia" w:ascii="宋体" w:hAnsi="宋体" w:cs="宋体"/>
                <w:color w:val="000000"/>
                <w:sz w:val="21"/>
                <w:szCs w:val="21"/>
                <w:lang w:eastAsia="zh-CN"/>
              </w:rPr>
              <w:t>展群众文化活动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确保按时开放，保</w:t>
            </w:r>
            <w:r>
              <w:rPr>
                <w:rFonts w:hint="eastAsia" w:ascii="宋体" w:hAnsi="宋体" w:cs="宋体"/>
                <w:color w:val="000000"/>
                <w:sz w:val="21"/>
                <w:szCs w:val="21"/>
                <w:lang w:eastAsia="zh-CN"/>
              </w:rPr>
              <w:t>障市民的文化需求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确保了各类群众文化有序开展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社会效益</w:t>
            </w:r>
          </w:p>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常年开展群众文化活动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提升全县文化质量，促进社会和谐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提升全县文化质量，促进社会和谐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满意度</w:t>
            </w:r>
            <w:r>
              <w:rPr>
                <w:rFonts w:hint="eastAsia" w:ascii="宋体" w:hAnsi="宋体" w:cs="宋体"/>
                <w:color w:val="000000"/>
                <w:sz w:val="21"/>
                <w:szCs w:val="21"/>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95%</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Calibri" w:hAnsi="Calibri"/>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eastAsia="zh-CN"/>
        </w:rPr>
        <w:t>文化馆</w:t>
      </w:r>
      <w:r>
        <w:rPr>
          <w:rFonts w:hint="eastAsia" w:ascii="仿宋_GB2312" w:hAnsi="仿宋_GB2312" w:eastAsia="仿宋_GB2312" w:cs="仿宋_GB2312"/>
          <w:sz w:val="32"/>
          <w:szCs w:val="32"/>
        </w:rPr>
        <w:t>2018年部门整体支出绩效评价报告》见附件。</w:t>
      </w:r>
    </w:p>
    <w:p>
      <w:pPr>
        <w:spacing w:line="600" w:lineRule="exact"/>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113"/>
      <w:bookmarkEnd w:id="114"/>
      <w:bookmarkEnd w:id="115"/>
      <w:bookmarkEnd w:id="116"/>
      <w:bookmarkEnd w:id="117"/>
      <w:bookmarkEnd w:id="118"/>
    </w:p>
    <w:p>
      <w:pPr>
        <w:spacing w:line="600" w:lineRule="exact"/>
        <w:outlineLvl w:val="2"/>
        <w:rPr>
          <w:rFonts w:ascii="仿宋" w:hAnsi="仿宋" w:eastAsia="仿宋"/>
          <w:color w:val="000000"/>
          <w:sz w:val="32"/>
          <w:szCs w:val="32"/>
        </w:rPr>
      </w:pPr>
      <w:bookmarkStart w:id="119" w:name="_Toc15377222"/>
      <w:bookmarkStart w:id="120" w:name="_Toc28942"/>
      <w:r>
        <w:rPr>
          <w:rFonts w:hint="eastAsia" w:ascii="仿宋" w:hAnsi="仿宋" w:eastAsia="仿宋"/>
          <w:b/>
          <w:color w:val="000000"/>
          <w:sz w:val="32"/>
          <w:szCs w:val="32"/>
        </w:rPr>
        <w:t>（一）机关运行经费支出情况</w:t>
      </w:r>
      <w:bookmarkEnd w:id="119"/>
      <w:bookmarkEnd w:id="120"/>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sz w:val="32"/>
          <w:szCs w:val="32"/>
          <w:lang w:eastAsia="zh-CN"/>
        </w:rPr>
        <w:t>开江县文化馆为文化广电新闻出版局下属事业单位无机</w:t>
      </w:r>
      <w:r>
        <w:rPr>
          <w:rFonts w:hint="eastAsia" w:ascii="仿宋_GB2312" w:eastAsia="仿宋_GB2312"/>
          <w:color w:val="000000"/>
          <w:sz w:val="32"/>
          <w:szCs w:val="32"/>
        </w:rPr>
        <w:t>关运行经费支出，</w:t>
      </w:r>
      <w:r>
        <w:rPr>
          <w:rFonts w:hint="eastAsia" w:ascii="仿宋_GB2312" w:eastAsia="仿宋_GB2312"/>
          <w:color w:val="000000"/>
          <w:sz w:val="32"/>
          <w:szCs w:val="32"/>
          <w:lang w:eastAsia="zh-CN"/>
        </w:rPr>
        <w:t>机</w:t>
      </w:r>
      <w:r>
        <w:rPr>
          <w:rFonts w:hint="eastAsia" w:ascii="仿宋_GB2312" w:eastAsia="仿宋_GB2312"/>
          <w:color w:val="000000"/>
          <w:sz w:val="32"/>
          <w:szCs w:val="32"/>
        </w:rPr>
        <w:t>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jc w:val="left"/>
        <w:outlineLvl w:val="2"/>
        <w:rPr>
          <w:rFonts w:ascii="仿宋" w:hAnsi="仿宋" w:eastAsia="仿宋"/>
          <w:b/>
          <w:color w:val="000000"/>
          <w:sz w:val="32"/>
          <w:szCs w:val="32"/>
        </w:rPr>
      </w:pPr>
      <w:bookmarkStart w:id="121" w:name="_Toc15377223"/>
      <w:bookmarkStart w:id="122" w:name="_Toc1753"/>
      <w:r>
        <w:rPr>
          <w:rFonts w:hint="eastAsia" w:ascii="仿宋" w:hAnsi="仿宋" w:eastAsia="仿宋"/>
          <w:b/>
          <w:color w:val="000000"/>
          <w:sz w:val="32"/>
          <w:szCs w:val="32"/>
        </w:rPr>
        <w:t>（二）政府采购支出情况</w:t>
      </w:r>
      <w:bookmarkEnd w:id="121"/>
      <w:bookmarkEnd w:id="12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开江县文化馆</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23" w:name="_Toc15377224"/>
      <w:bookmarkStart w:id="124" w:name="_Toc32499"/>
      <w:r>
        <w:rPr>
          <w:rFonts w:hint="eastAsia" w:ascii="仿宋" w:hAnsi="仿宋" w:eastAsia="仿宋"/>
          <w:b/>
          <w:color w:val="000000"/>
          <w:sz w:val="32"/>
          <w:szCs w:val="32"/>
        </w:rPr>
        <w:t>（三）国有资产占有使用情况</w:t>
      </w:r>
      <w:bookmarkEnd w:id="123"/>
      <w:bookmarkEnd w:id="12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开江县文化馆</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文化惠民基层文艺演出用车。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numPr>
          <w:ilvl w:val="0"/>
          <w:numId w:val="6"/>
        </w:numPr>
        <w:spacing w:line="600" w:lineRule="exact"/>
        <w:ind w:firstLine="542" w:firstLineChars="150"/>
        <w:jc w:val="center"/>
        <w:outlineLvl w:val="0"/>
        <w:rPr>
          <w:rStyle w:val="24"/>
          <w:rFonts w:ascii="黑体" w:hAnsi="黑体" w:eastAsia="黑体"/>
          <w:b w:val="0"/>
          <w:sz w:val="36"/>
          <w:szCs w:val="36"/>
        </w:rPr>
      </w:pPr>
      <w:bookmarkStart w:id="125" w:name="_Toc15396613"/>
      <w:bookmarkStart w:id="126" w:name="_Toc15377225"/>
      <w:bookmarkStart w:id="127" w:name="_Toc18431_WPSOffice_Level1"/>
      <w:bookmarkStart w:id="128" w:name="_Toc5772_WPSOffice_Level1"/>
      <w:bookmarkStart w:id="129" w:name="_Toc16692_WPSOffice_Level1"/>
      <w:bookmarkStart w:id="130" w:name="_Toc19045"/>
      <w:r>
        <w:rPr>
          <w:rFonts w:hint="eastAsia" w:ascii="黑体" w:hAnsi="黑体" w:eastAsia="黑体"/>
          <w:b/>
          <w:color w:val="000000"/>
          <w:sz w:val="36"/>
          <w:szCs w:val="36"/>
        </w:rPr>
        <w:t>名</w:t>
      </w:r>
      <w:r>
        <w:rPr>
          <w:rStyle w:val="24"/>
          <w:rFonts w:hint="eastAsia" w:ascii="黑体" w:hAnsi="黑体" w:eastAsia="黑体"/>
          <w:b w:val="0"/>
          <w:sz w:val="36"/>
          <w:szCs w:val="36"/>
        </w:rPr>
        <w:t>词解释</w:t>
      </w:r>
      <w:bookmarkEnd w:id="125"/>
      <w:bookmarkEnd w:id="126"/>
      <w:bookmarkEnd w:id="127"/>
      <w:bookmarkEnd w:id="128"/>
      <w:bookmarkEnd w:id="129"/>
      <w:bookmarkEnd w:id="130"/>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highlight w:val="red"/>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进修及培训</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培训支出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反映各部门安排的用于培训的支出。教育部门的师资培训、党校、行政学院等专业干部教育机构的支出，以及退役士兵、转业士官的培训支出，不在本科目反映</w:t>
      </w:r>
      <w:r>
        <w:rPr>
          <w:rFonts w:hint="eastAsia" w:ascii="仿宋_GB2312" w:eastAsia="仿宋_GB2312"/>
          <w:color w:val="000000"/>
          <w:sz w:val="32"/>
          <w:szCs w:val="32"/>
        </w:rPr>
        <w:t>。</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文化</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群众文化</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反映文化馆的支出。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10.文化教育与传媒（类）其他文化体育与传媒支出：反映上述项目以外其他用于文化体育与传媒方面的支出。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反映机关事业单位实施养老保险制度由单位缴纳的基本养老保险支出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反映行政事业单位按人力资源和社会保障部、财政部规定的基本工资和津巾以及规定比例为职工缴纳的住房公积金</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p>
    <w:p>
      <w:pPr>
        <w:numPr>
          <w:ilvl w:val="0"/>
          <w:numId w:val="6"/>
        </w:numPr>
        <w:spacing w:line="600" w:lineRule="exact"/>
        <w:ind w:left="0" w:leftChars="0" w:firstLine="660" w:firstLineChars="150"/>
        <w:jc w:val="center"/>
        <w:outlineLvl w:val="0"/>
        <w:rPr>
          <w:rStyle w:val="24"/>
          <w:rFonts w:hint="eastAsia" w:ascii="黑体" w:hAnsi="黑体" w:eastAsia="黑体"/>
          <w:b w:val="0"/>
        </w:rPr>
      </w:pPr>
      <w:bookmarkStart w:id="131" w:name="_Toc15377226"/>
      <w:bookmarkStart w:id="132" w:name="_Toc15396618"/>
      <w:bookmarkStart w:id="133" w:name="_Toc16174_WPSOffice_Level1"/>
      <w:bookmarkStart w:id="134" w:name="_Toc31771_WPSOffice_Level1"/>
      <w:bookmarkStart w:id="135" w:name="_Toc25_WPSOffice_Level1"/>
      <w:bookmarkStart w:id="136" w:name="_Toc27708"/>
      <w:r>
        <w:rPr>
          <w:rStyle w:val="24"/>
          <w:rFonts w:hint="eastAsia" w:ascii="黑体" w:hAnsi="黑体" w:eastAsia="黑体"/>
          <w:b w:val="0"/>
        </w:rPr>
        <w:t>附表</w:t>
      </w:r>
      <w:bookmarkEnd w:id="131"/>
      <w:bookmarkEnd w:id="132"/>
      <w:bookmarkEnd w:id="133"/>
      <w:bookmarkEnd w:id="134"/>
      <w:bookmarkEnd w:id="135"/>
      <w:bookmarkEnd w:id="136"/>
    </w:p>
    <w:p>
      <w:pPr>
        <w:spacing w:line="600" w:lineRule="exact"/>
        <w:jc w:val="center"/>
        <w:outlineLvl w:val="0"/>
        <w:rPr>
          <w:rStyle w:val="24"/>
          <w:rFonts w:hint="eastAsia" w:ascii="黑体" w:hAnsi="黑体" w:eastAsia="黑体"/>
          <w:b w:val="0"/>
        </w:rPr>
      </w:pPr>
      <w:bookmarkStart w:id="137" w:name="_Toc15396616"/>
      <w:r>
        <w:rPr>
          <w:rFonts w:hint="eastAsia" w:ascii="黑体" w:hAnsi="黑体" w:eastAsia="黑体" w:cs="方正小标宋简体"/>
          <w:sz w:val="36"/>
          <w:szCs w:val="36"/>
          <w:lang w:eastAsia="zh-CN"/>
        </w:rPr>
        <w:t>开江县文化馆</w:t>
      </w:r>
      <w:r>
        <w:rPr>
          <w:rFonts w:hint="eastAsia" w:ascii="黑体" w:hAnsi="黑体" w:eastAsia="黑体" w:cs="方正小标宋简体"/>
          <w:sz w:val="36"/>
          <w:szCs w:val="36"/>
        </w:rPr>
        <w:t>2018年部门整体支出绩效评价报告</w:t>
      </w:r>
      <w:bookmarkEnd w:id="137"/>
    </w:p>
    <w:p>
      <w:pPr>
        <w:pStyle w:val="3"/>
        <w:rPr>
          <w:rFonts w:hint="eastAsia" w:ascii="仿宋_GB2312" w:eastAsia="仿宋_GB2312"/>
          <w:color w:val="000000"/>
          <w:sz w:val="32"/>
          <w:szCs w:val="32"/>
        </w:rPr>
      </w:pPr>
      <w:r>
        <w:rPr>
          <w:rFonts w:hint="eastAsia" w:ascii="黑体" w:eastAsia="黑体"/>
          <w:b w:val="0"/>
          <w:color w:val="000000"/>
          <w:lang w:eastAsia="zh-CN"/>
        </w:rPr>
        <w:t>一</w:t>
      </w:r>
      <w:r>
        <w:rPr>
          <w:rFonts w:hint="eastAsia" w:ascii="黑体" w:eastAsia="黑体"/>
          <w:b w:val="0"/>
          <w:color w:val="000000"/>
        </w:rPr>
        <w:t>、</w:t>
      </w:r>
      <w:r>
        <w:rPr>
          <w:rFonts w:hint="eastAsia" w:ascii="黑体" w:hAnsi="黑体" w:eastAsia="黑体"/>
          <w:b w:val="0"/>
          <w:color w:val="000000"/>
        </w:rPr>
        <w:t>机</w:t>
      </w:r>
      <w:r>
        <w:rPr>
          <w:rStyle w:val="25"/>
          <w:rFonts w:hint="eastAsia" w:ascii="黑体" w:hAnsi="黑体" w:eastAsia="黑体"/>
          <w:b w:val="0"/>
          <w:bCs w:val="0"/>
        </w:rPr>
        <w:t>构设置</w:t>
      </w:r>
    </w:p>
    <w:p>
      <w:pPr>
        <w:spacing w:line="600" w:lineRule="exact"/>
        <w:ind w:firstLine="640" w:firstLineChars="200"/>
        <w:jc w:val="left"/>
        <w:outlineLvl w:val="0"/>
        <w:rPr>
          <w:rStyle w:val="24"/>
          <w:rFonts w:hint="eastAsia" w:ascii="黑体" w:hAnsi="黑体" w:eastAsia="黑体"/>
          <w:b w:val="0"/>
        </w:rPr>
      </w:pPr>
      <w:r>
        <w:rPr>
          <w:rFonts w:hint="eastAsia" w:ascii="仿宋_GB2312" w:eastAsia="仿宋_GB2312"/>
          <w:color w:val="000000"/>
          <w:sz w:val="32"/>
          <w:szCs w:val="32"/>
        </w:rPr>
        <w:t>根据（开江府办发{2011}79号）文件，开江县文化馆事业编制11名，设馆长1名，副馆长2名，为县文广新局所属事业单位。内设有综合办公室、音乐舞蹈部、书画摄影部</w:t>
      </w:r>
      <w:r>
        <w:rPr>
          <w:rFonts w:hint="eastAsia" w:ascii="仿宋_GB2312" w:eastAsia="仿宋_GB2312"/>
          <w:color w:val="000000"/>
          <w:sz w:val="32"/>
          <w:szCs w:val="32"/>
          <w:lang w:eastAsia="zh-CN"/>
        </w:rPr>
        <w:t>、</w:t>
      </w:r>
      <w:r>
        <w:rPr>
          <w:rFonts w:hint="eastAsia" w:ascii="仿宋_GB2312" w:eastAsia="仿宋_GB2312"/>
          <w:color w:val="000000"/>
          <w:sz w:val="32"/>
          <w:szCs w:val="32"/>
        </w:rPr>
        <w:t>文艺培训部、后勤保障部。</w:t>
      </w:r>
    </w:p>
    <w:p>
      <w:pPr>
        <w:spacing w:line="600" w:lineRule="exact"/>
        <w:jc w:val="both"/>
        <w:outlineLvl w:val="0"/>
        <w:rPr>
          <w:rStyle w:val="24"/>
          <w:rFonts w:hint="eastAsia" w:ascii="黑体" w:hAnsi="黑体" w:eastAsia="黑体"/>
          <w:b/>
          <w:bCs/>
        </w:rPr>
      </w:pPr>
      <w:r>
        <w:rPr>
          <w:rFonts w:ascii="仿宋" w:hAnsi="仿宋" w:eastAsia="仿宋" w:cs="仿宋_GB2312"/>
          <w:b/>
          <w:bCs/>
          <w:sz w:val="32"/>
          <w:szCs w:val="32"/>
        </w:rPr>
        <w:t>（</w:t>
      </w:r>
      <w:r>
        <w:rPr>
          <w:rFonts w:hint="eastAsia" w:ascii="仿宋" w:hAnsi="仿宋" w:eastAsia="仿宋" w:cs="仿宋_GB2312"/>
          <w:b/>
          <w:bCs/>
          <w:sz w:val="32"/>
          <w:szCs w:val="32"/>
          <w:lang w:eastAsia="zh-CN"/>
        </w:rPr>
        <w:t>二</w:t>
      </w:r>
      <w:r>
        <w:rPr>
          <w:rFonts w:ascii="仿宋" w:hAnsi="仿宋" w:eastAsia="仿宋" w:cs="仿宋_GB2312"/>
          <w:b/>
          <w:bCs/>
          <w:sz w:val="32"/>
          <w:szCs w:val="32"/>
        </w:rPr>
        <w:t>）机构职能。</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1、负责宣传国家文化方针、政策和法令，开展文化科学知识的普及宣传。</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2、组织开展健康有益、积极向上、丰富多彩的群众文化系列活动及举办各类艺术展览活动。</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3、繁荣群众业余文化艺术活动，培训各种文化艺术人才，建立、健全群众文化艺术档案。</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4、组织音乐、舞蹈、美术、书法、文学、摄影等各种群众文化艺术门类的创作；创作贴近实际、贴近群众、贴近生活的优秀文艺作品，使文化馆成为吸引并满足群众求知、求乐、求美的文化艺术活动中心。</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5、辅导文化站和各基层业余文化组织，并开展相关培训工作。</w:t>
      </w: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6、开展区域内非物质文化遗产的收集、整理、申报及保护等工作</w:t>
      </w:r>
    </w:p>
    <w:p>
      <w:pPr>
        <w:spacing w:line="580" w:lineRule="exact"/>
        <w:rPr>
          <w:rFonts w:ascii="仿宋" w:hAnsi="仿宋" w:eastAsia="仿宋" w:cs="仿宋_GB2312"/>
          <w:sz w:val="32"/>
          <w:szCs w:val="32"/>
        </w:rPr>
      </w:pPr>
      <w:r>
        <w:rPr>
          <w:rFonts w:ascii="仿宋" w:hAnsi="仿宋" w:eastAsia="仿宋" w:cs="仿宋_GB2312"/>
          <w:b/>
          <w:bCs/>
          <w:sz w:val="32"/>
          <w:szCs w:val="32"/>
        </w:rPr>
        <w:t>（三）人员概况</w:t>
      </w:r>
      <w:r>
        <w:rPr>
          <w:rFonts w:ascii="仿宋" w:hAnsi="仿宋" w:eastAsia="仿宋" w:cs="仿宋_GB2312"/>
          <w:sz w:val="32"/>
          <w:szCs w:val="32"/>
        </w:rPr>
        <w:t>。</w:t>
      </w:r>
    </w:p>
    <w:p>
      <w:pPr>
        <w:spacing w:line="580" w:lineRule="exact"/>
        <w:ind w:firstLine="320" w:firstLineChars="1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2018年年末实有在职职工14人，退休人员23人，遗属8人。事业编制人数11人。</w:t>
      </w:r>
    </w:p>
    <w:p>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250.01万元，其中：本年收入合计224.91万元，主要是一般公共预算财政拨款</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224.91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年初结转和结余</w:t>
      </w:r>
      <w:r>
        <w:rPr>
          <w:rFonts w:hint="eastAsia" w:ascii="仿宋" w:hAnsi="仿宋" w:eastAsia="仿宋"/>
          <w:color w:val="000000"/>
          <w:sz w:val="32"/>
          <w:szCs w:val="32"/>
          <w:lang w:val="en-US" w:eastAsia="zh-CN"/>
        </w:rPr>
        <w:t>25.1万元。</w:t>
      </w:r>
    </w:p>
    <w:p>
      <w:pPr>
        <w:numPr>
          <w:ilvl w:val="0"/>
          <w:numId w:val="7"/>
        </w:numPr>
        <w:spacing w:line="580" w:lineRule="exact"/>
        <w:ind w:left="1723" w:leftChars="0" w:hanging="1080" w:firstLineChars="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val="en-US" w:eastAsia="zh-CN"/>
        </w:rPr>
        <w:t>支出总计250.01万元，其中：</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224.91</w:t>
      </w:r>
      <w:r>
        <w:rPr>
          <w:rFonts w:hint="eastAsia" w:ascii="仿宋" w:hAnsi="仿宋" w:eastAsia="仿宋"/>
          <w:color w:val="000000"/>
          <w:sz w:val="32"/>
          <w:szCs w:val="32"/>
        </w:rPr>
        <w:t>万元，</w:t>
      </w:r>
      <w:r>
        <w:rPr>
          <w:rFonts w:hint="eastAsia" w:ascii="仿宋" w:hAnsi="仿宋" w:eastAsia="仿宋"/>
          <w:color w:val="000000" w:themeColor="text1"/>
          <w:sz w:val="32"/>
          <w:szCs w:val="32"/>
          <w14:textFill>
            <w14:solidFill>
              <w14:schemeClr w14:val="tx1"/>
            </w14:solidFill>
          </w14:textFill>
        </w:rPr>
        <w:t>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文化体育与传媒（类）支出</w:t>
      </w:r>
      <w:r>
        <w:rPr>
          <w:rFonts w:hint="eastAsia" w:ascii="仿宋" w:hAnsi="仿宋" w:eastAsia="仿宋"/>
          <w:color w:val="000000" w:themeColor="text1"/>
          <w:sz w:val="32"/>
          <w:szCs w:val="32"/>
          <w:lang w:val="en-US" w:eastAsia="zh-CN"/>
          <w14:textFill>
            <w14:solidFill>
              <w14:schemeClr w14:val="tx1"/>
            </w14:solidFill>
          </w14:textFill>
        </w:rPr>
        <w:t>206.58</w:t>
      </w:r>
      <w:r>
        <w:rPr>
          <w:rFonts w:hint="eastAsia" w:ascii="仿宋" w:hAnsi="仿宋" w:eastAsia="仿宋"/>
          <w:color w:val="000000" w:themeColor="text1"/>
          <w:sz w:val="32"/>
          <w:szCs w:val="32"/>
          <w14:textFill>
            <w14:solidFill>
              <w14:schemeClr w14:val="tx1"/>
            </w14:solidFill>
          </w14:textFill>
        </w:rPr>
        <w:t>万元，社会保障和就业（类）支出</w:t>
      </w:r>
      <w:r>
        <w:rPr>
          <w:rFonts w:hint="eastAsia" w:ascii="仿宋" w:hAnsi="仿宋" w:eastAsia="仿宋"/>
          <w:color w:val="000000" w:themeColor="text1"/>
          <w:sz w:val="32"/>
          <w:szCs w:val="32"/>
          <w:lang w:val="en-US" w:eastAsia="zh-CN"/>
          <w14:textFill>
            <w14:solidFill>
              <w14:schemeClr w14:val="tx1"/>
            </w14:solidFill>
          </w14:textFill>
        </w:rPr>
        <w:t>24.77</w:t>
      </w:r>
      <w:r>
        <w:rPr>
          <w:rFonts w:hint="eastAsia" w:ascii="仿宋" w:hAnsi="仿宋" w:eastAsia="仿宋"/>
          <w:color w:val="000000" w:themeColor="text1"/>
          <w:sz w:val="32"/>
          <w:szCs w:val="32"/>
          <w14:textFill>
            <w14:solidFill>
              <w14:schemeClr w14:val="tx1"/>
            </w14:solidFill>
          </w14:textFill>
        </w:rPr>
        <w:t>万元，医疗卫生支出（类）</w:t>
      </w:r>
      <w:r>
        <w:rPr>
          <w:rFonts w:hint="eastAsia" w:ascii="仿宋" w:hAnsi="仿宋" w:eastAsia="仿宋"/>
          <w:color w:val="000000" w:themeColor="text1"/>
          <w:sz w:val="32"/>
          <w:szCs w:val="32"/>
          <w:lang w:val="en-US" w:eastAsia="zh-CN"/>
          <w14:textFill>
            <w14:solidFill>
              <w14:schemeClr w14:val="tx1"/>
            </w14:solidFill>
          </w14:textFill>
        </w:rPr>
        <w:t>6.56</w:t>
      </w:r>
      <w:r>
        <w:rPr>
          <w:rFonts w:hint="eastAsia" w:ascii="仿宋" w:hAnsi="仿宋" w:eastAsia="仿宋"/>
          <w:color w:val="000000" w:themeColor="text1"/>
          <w:sz w:val="32"/>
          <w:szCs w:val="32"/>
          <w14:textFill>
            <w14:solidFill>
              <w14:schemeClr w14:val="tx1"/>
            </w14:solidFill>
          </w14:textFill>
        </w:rPr>
        <w:t>万元，住房保障支出（类）</w:t>
      </w:r>
      <w:r>
        <w:rPr>
          <w:rFonts w:hint="eastAsia" w:ascii="仿宋" w:hAnsi="仿宋" w:eastAsia="仿宋"/>
          <w:color w:val="000000" w:themeColor="text1"/>
          <w:sz w:val="32"/>
          <w:szCs w:val="32"/>
          <w:lang w:val="en-US" w:eastAsia="zh-CN"/>
          <w14:textFill>
            <w14:solidFill>
              <w14:schemeClr w14:val="tx1"/>
            </w14:solidFill>
          </w14:textFill>
        </w:rPr>
        <w:t>12.1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年末结转和结余</w:t>
      </w:r>
      <w:r>
        <w:rPr>
          <w:rFonts w:hint="eastAsia" w:ascii="仿宋" w:hAnsi="仿宋" w:eastAsia="仿宋"/>
          <w:color w:val="000000" w:themeColor="text1"/>
          <w:sz w:val="32"/>
          <w:szCs w:val="32"/>
          <w:lang w:val="en-US" w:eastAsia="zh-CN"/>
          <w14:textFill>
            <w14:solidFill>
              <w14:schemeClr w14:val="tx1"/>
            </w14:solidFill>
          </w14:textFill>
        </w:rPr>
        <w:t>25.1万元。</w:t>
      </w:r>
    </w:p>
    <w:p>
      <w:pPr>
        <w:spacing w:line="580" w:lineRule="exact"/>
        <w:rPr>
          <w:rFonts w:ascii="黑体" w:hAnsi="黑体" w:eastAsia="黑体" w:cs="黑体"/>
          <w:sz w:val="32"/>
          <w:szCs w:val="32"/>
        </w:rPr>
      </w:pPr>
      <w:r>
        <w:rPr>
          <w:rFonts w:ascii="黑体" w:hAnsi="黑体" w:eastAsia="黑体" w:cs="黑体"/>
          <w:sz w:val="32"/>
          <w:szCs w:val="32"/>
        </w:rPr>
        <w:t>三、部门整体预算绩效管理情况</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1、预算编制方面：</w:t>
      </w:r>
      <w:r>
        <w:rPr>
          <w:rFonts w:hint="eastAsia" w:ascii="仿宋" w:hAnsi="仿宋" w:eastAsia="仿宋"/>
          <w:color w:val="000000" w:themeColor="text1"/>
          <w:sz w:val="32"/>
          <w:szCs w:val="32"/>
          <w14:textFill>
            <w14:solidFill>
              <w14:schemeClr w14:val="tx1"/>
            </w14:solidFill>
          </w14:textFill>
        </w:rPr>
        <w:t>严格执行《预算法》编制年初部门预算，根据县财政局的统一安排，结合本部门实际工作的情况，认真编制部门预算，经领导审核后，及时报送县财政局。</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olor w:val="000000" w:themeColor="text1"/>
          <w:sz w:val="32"/>
          <w:szCs w:val="32"/>
          <w:lang w:val="en-US" w:eastAsia="zh-CN"/>
          <w14:textFill>
            <w14:solidFill>
              <w14:schemeClr w14:val="tx1"/>
            </w14:solidFill>
          </w14:textFill>
        </w:rPr>
        <w:t>2、预算执行方面：严格落实《预算法》和预算管理相关规定，各项支出按照批准的预算审核列支，严格控制在预算额度内使用，支出的范围和标准符合相关规定。支出主要用于保障单位正常运转、完成文化活动开展：</w:t>
      </w:r>
      <w:r>
        <w:rPr>
          <w:rFonts w:hint="eastAsia" w:ascii="仿宋_GB2312" w:hAnsi="仿宋_GB2312" w:eastAsia="仿宋_GB2312" w:cs="仿宋_GB2312"/>
          <w:sz w:val="32"/>
          <w:szCs w:val="32"/>
        </w:rPr>
        <w:t>基本支出，是用于保障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正常运转的日常支出，包括基本工资、津贴补贴等人员经费以及办公费、印刷费、水电费、办公设备购置等日常公用经费；项目支出，主要用于</w:t>
      </w:r>
      <w:r>
        <w:rPr>
          <w:rFonts w:hint="eastAsia" w:ascii="仿宋_GB2312" w:hAnsi="仿宋_GB2312" w:eastAsia="仿宋_GB2312" w:cs="仿宋_GB2312"/>
          <w:sz w:val="32"/>
          <w:szCs w:val="32"/>
          <w:lang w:eastAsia="zh-CN"/>
        </w:rPr>
        <w:t>文化馆免费开放日常项目</w:t>
      </w:r>
      <w:r>
        <w:rPr>
          <w:rFonts w:hint="eastAsia" w:ascii="仿宋_GB2312" w:hAnsi="仿宋_GB2312" w:eastAsia="仿宋_GB2312" w:cs="仿宋_GB2312"/>
          <w:sz w:val="32"/>
          <w:szCs w:val="32"/>
        </w:rPr>
        <w:t>等。</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4、资产管理方面：我们进一步加强资产的管理，制定了《开江县文化馆财务管理制度》，明确了具体责任人，完善了固定资产档案，严格报批、销审等手续，做好资产统计工作，单位无固定资产流失现象。</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2"/>
          <w:sz w:val="32"/>
          <w:szCs w:val="32"/>
          <w:lang w:val="en-US" w:eastAsia="zh-CN" w:bidi="ar-SA"/>
        </w:rPr>
        <w:t>5.绩效管理和监督情况。坚持年初制定的全年目标任务责任到各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s="仿宋_GB2312"/>
          <w:sz w:val="32"/>
          <w:szCs w:val="32"/>
        </w:rPr>
        <w:t>（</w:t>
      </w:r>
      <w:r>
        <w:rPr>
          <w:rFonts w:hint="eastAsia" w:ascii="仿宋" w:hAnsi="仿宋" w:eastAsia="仿宋"/>
          <w:color w:val="000000" w:themeColor="text1"/>
          <w:sz w:val="32"/>
          <w:szCs w:val="32"/>
          <w:lang w:val="en-US" w:eastAsia="zh-CN"/>
          <w14:textFill>
            <w14:solidFill>
              <w14:schemeClr w14:val="tx1"/>
            </w14:solidFill>
          </w14:textFill>
        </w:rPr>
        <w:t>一）评价结论。</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2018年，我单位积极履职，强化管理，较好地完成了年度绩效目标，有效保障了各项工作的完成，充分发挥了财政资金的经济效益、社会效益。通过加强预算收支管理，不断建立健全内部管理制度，梳理内部管理流程，部门整体支出管理水平得到提升。</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（二）存在问题。</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一是预算编制有待更严格执行。预算编制与实际支出项目有的仍存在细微差异。</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二是部门整体预算执行率未达到90%，预算执行有待提升。</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w:t>
      </w:r>
      <w:r>
        <w:rPr>
          <w:rFonts w:hint="default" w:ascii="仿宋" w:hAnsi="仿宋" w:eastAsia="仿宋"/>
          <w:color w:val="000000" w:themeColor="text1"/>
          <w:sz w:val="32"/>
          <w:szCs w:val="32"/>
          <w:lang w:val="en-US" w:eastAsia="zh-CN"/>
          <w14:textFill>
            <w14:solidFill>
              <w14:schemeClr w14:val="tx1"/>
            </w14:solidFill>
          </w14:textFill>
        </w:rPr>
        <w:t>是固定资产管理有待加强。部分固定资产折损。未及时进行清理。</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（三）改进建议。</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一是按照预算规定的项目和用途严格财务审核，经费支出严格按预算规定项目的财务支出内容进行财务核算，在预算金额内严格控制费用的支出。</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二是预算财务分析常态化，定期做好预算支出财务分析，做好单位整体支出预算评价工作。</w:t>
      </w:r>
    </w:p>
    <w:p>
      <w:pPr>
        <w:spacing w:line="600" w:lineRule="exact"/>
        <w:ind w:firstLine="640"/>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t>三是制</w:t>
      </w:r>
      <w:r>
        <w:rPr>
          <w:rFonts w:hint="eastAsia" w:ascii="仿宋" w:hAnsi="仿宋" w:eastAsia="仿宋"/>
          <w:color w:val="000000" w:themeColor="text1"/>
          <w:sz w:val="32"/>
          <w:szCs w:val="32"/>
          <w:lang w:val="en-US" w:eastAsia="zh-CN"/>
          <w14:textFill>
            <w14:solidFill>
              <w14:schemeClr w14:val="tx1"/>
            </w14:solidFill>
          </w14:textFill>
        </w:rPr>
        <w:t>定</w:t>
      </w:r>
      <w:r>
        <w:rPr>
          <w:rFonts w:hint="default" w:ascii="仿宋" w:hAnsi="仿宋" w:eastAsia="仿宋"/>
          <w:color w:val="000000" w:themeColor="text1"/>
          <w:sz w:val="32"/>
          <w:szCs w:val="32"/>
          <w:lang w:val="en-US" w:eastAsia="zh-CN"/>
          <w14:textFill>
            <w14:solidFill>
              <w14:schemeClr w14:val="tx1"/>
            </w14:solidFill>
          </w14:textFill>
        </w:rPr>
        <w:t>适用本</w:t>
      </w:r>
      <w:r>
        <w:rPr>
          <w:rFonts w:hint="eastAsia" w:ascii="仿宋" w:hAnsi="仿宋" w:eastAsia="仿宋"/>
          <w:color w:val="000000" w:themeColor="text1"/>
          <w:sz w:val="32"/>
          <w:szCs w:val="32"/>
          <w:lang w:val="en-US" w:eastAsia="zh-CN"/>
          <w14:textFill>
            <w14:solidFill>
              <w14:schemeClr w14:val="tx1"/>
            </w14:solidFill>
          </w14:textFill>
        </w:rPr>
        <w:t>单位</w:t>
      </w:r>
      <w:r>
        <w:rPr>
          <w:rFonts w:hint="default" w:ascii="仿宋" w:hAnsi="仿宋" w:eastAsia="仿宋"/>
          <w:color w:val="000000" w:themeColor="text1"/>
          <w:sz w:val="32"/>
          <w:szCs w:val="32"/>
          <w:lang w:val="en-US" w:eastAsia="zh-CN"/>
          <w14:textFill>
            <w14:solidFill>
              <w14:schemeClr w14:val="tx1"/>
            </w14:solidFill>
          </w14:textFill>
        </w:rPr>
        <w:t>的固定资产管理制度，从资产采购、使用以及报废各环节规范固定资产的管理，提高固定资产使用效率，减少资金浪费。</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Fonts w:hint="eastAsia" w:ascii="仿宋_GB2312" w:hAnsi="Calibri" w:eastAsia="仿宋_GB2312" w:cs="仿宋"/>
          <w:color w:val="000000"/>
          <w:kern w:val="0"/>
          <w:sz w:val="32"/>
          <w:szCs w:val="32"/>
          <w:lang w:val="en-US" w:eastAsia="zh-CN" w:bidi="ar-SA"/>
        </w:rPr>
      </w:pPr>
      <w:bookmarkStart w:id="203" w:name="_GoBack"/>
      <w:r>
        <w:rPr>
          <w:rFonts w:hint="eastAsia" w:ascii="黑体" w:hAnsi="黑体" w:eastAsia="黑体"/>
          <w:color w:val="000000"/>
          <w:sz w:val="44"/>
          <w:szCs w:val="44"/>
        </w:rPr>
        <w:t>第</w:t>
      </w:r>
      <w:r>
        <w:rPr>
          <w:rStyle w:val="24"/>
          <w:rFonts w:hint="eastAsia" w:ascii="黑体" w:hAnsi="黑体" w:eastAsia="黑体"/>
          <w:b w:val="0"/>
        </w:rPr>
        <w:t>五部分 附表</w:t>
      </w:r>
    </w:p>
    <w:bookmarkEnd w:id="203"/>
    <w:p>
      <w:pPr>
        <w:pStyle w:val="3"/>
        <w:rPr>
          <w:rFonts w:ascii="仿宋" w:hAnsi="仿宋" w:eastAsia="仿宋"/>
          <w:color w:val="000000"/>
        </w:rPr>
      </w:pPr>
      <w:bookmarkStart w:id="138" w:name="_Toc15396619"/>
      <w:bookmarkStart w:id="139" w:name="_Toc385_WPSOffice_Level2"/>
      <w:bookmarkStart w:id="140" w:name="_Toc16325_WPSOffice_Level2"/>
      <w:bookmarkStart w:id="141" w:name="_Toc23220_WPSOffice_Level2"/>
      <w:bookmarkStart w:id="142" w:name="_Toc23521"/>
      <w:r>
        <w:rPr>
          <w:rFonts w:hint="eastAsia" w:ascii="仿宋" w:hAnsi="仿宋" w:eastAsia="仿宋"/>
          <w:b w:val="0"/>
          <w:color w:val="000000"/>
        </w:rPr>
        <w:t>一、收</w:t>
      </w:r>
      <w:r>
        <w:rPr>
          <w:rStyle w:val="25"/>
          <w:rFonts w:hint="eastAsia" w:ascii="仿宋" w:hAnsi="仿宋" w:eastAsia="仿宋"/>
          <w:b w:val="0"/>
          <w:bCs w:val="0"/>
        </w:rPr>
        <w:t>入支出决算总表</w:t>
      </w:r>
      <w:bookmarkEnd w:id="138"/>
      <w:bookmarkEnd w:id="139"/>
      <w:bookmarkEnd w:id="140"/>
      <w:bookmarkEnd w:id="141"/>
      <w:bookmarkEnd w:id="142"/>
    </w:p>
    <w:p>
      <w:pPr>
        <w:pStyle w:val="3"/>
        <w:rPr>
          <w:rFonts w:ascii="仿宋" w:hAnsi="仿宋" w:eastAsia="仿宋"/>
          <w:color w:val="000000"/>
        </w:rPr>
      </w:pPr>
      <w:bookmarkStart w:id="143" w:name="_Toc15396620"/>
      <w:bookmarkStart w:id="144" w:name="_Toc29304_WPSOffice_Level2"/>
      <w:bookmarkStart w:id="145" w:name="_Toc15466_WPSOffice_Level2"/>
      <w:bookmarkStart w:id="146" w:name="_Toc24019_WPSOffice_Level2"/>
      <w:bookmarkStart w:id="147" w:name="_Toc10340"/>
      <w:r>
        <w:rPr>
          <w:rFonts w:hint="eastAsia" w:ascii="仿宋" w:hAnsi="仿宋" w:eastAsia="仿宋"/>
          <w:b w:val="0"/>
          <w:color w:val="000000"/>
        </w:rPr>
        <w:t>二、收</w:t>
      </w:r>
      <w:r>
        <w:rPr>
          <w:rStyle w:val="25"/>
          <w:rFonts w:hint="eastAsia" w:ascii="仿宋" w:hAnsi="仿宋" w:eastAsia="仿宋"/>
          <w:b w:val="0"/>
          <w:bCs w:val="0"/>
        </w:rPr>
        <w:t>入总表</w:t>
      </w:r>
      <w:bookmarkEnd w:id="143"/>
      <w:bookmarkEnd w:id="144"/>
      <w:bookmarkEnd w:id="145"/>
      <w:bookmarkEnd w:id="146"/>
      <w:bookmarkEnd w:id="147"/>
    </w:p>
    <w:p>
      <w:pPr>
        <w:pStyle w:val="3"/>
        <w:rPr>
          <w:rFonts w:ascii="仿宋" w:hAnsi="仿宋" w:eastAsia="仿宋"/>
          <w:color w:val="000000"/>
        </w:rPr>
      </w:pPr>
      <w:bookmarkStart w:id="148" w:name="_Toc15396621"/>
      <w:bookmarkStart w:id="149" w:name="_Toc9664_WPSOffice_Level2"/>
      <w:bookmarkStart w:id="150" w:name="_Toc15422_WPSOffice_Level2"/>
      <w:bookmarkStart w:id="151" w:name="_Toc25524_WPSOffice_Level2"/>
      <w:bookmarkStart w:id="152" w:name="_Toc24502"/>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148"/>
      <w:bookmarkEnd w:id="149"/>
      <w:bookmarkEnd w:id="150"/>
      <w:bookmarkEnd w:id="151"/>
      <w:bookmarkEnd w:id="152"/>
    </w:p>
    <w:p>
      <w:pPr>
        <w:pStyle w:val="3"/>
        <w:rPr>
          <w:rFonts w:ascii="仿宋" w:hAnsi="仿宋" w:eastAsia="仿宋"/>
          <w:b w:val="0"/>
          <w:color w:val="000000"/>
        </w:rPr>
      </w:pPr>
      <w:bookmarkStart w:id="153" w:name="_Toc15396622"/>
      <w:bookmarkStart w:id="154" w:name="_Toc5966_WPSOffice_Level2"/>
      <w:bookmarkStart w:id="155" w:name="_Toc12077_WPSOffice_Level2"/>
      <w:bookmarkStart w:id="156" w:name="_Toc11970_WPSOffice_Level2"/>
      <w:bookmarkStart w:id="157" w:name="_Toc21920"/>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53"/>
      <w:bookmarkEnd w:id="154"/>
      <w:bookmarkEnd w:id="155"/>
      <w:bookmarkEnd w:id="156"/>
      <w:bookmarkEnd w:id="157"/>
    </w:p>
    <w:p>
      <w:pPr>
        <w:pStyle w:val="3"/>
        <w:rPr>
          <w:rFonts w:ascii="仿宋" w:hAnsi="仿宋" w:eastAsia="仿宋"/>
          <w:color w:val="000000"/>
        </w:rPr>
      </w:pPr>
      <w:bookmarkStart w:id="158" w:name="_Toc15396623"/>
      <w:bookmarkStart w:id="159" w:name="_Toc1703_WPSOffice_Level2"/>
      <w:bookmarkStart w:id="160" w:name="_Toc17418_WPSOffice_Level2"/>
      <w:bookmarkStart w:id="161" w:name="_Toc22582_WPSOffice_Level2"/>
      <w:bookmarkStart w:id="162" w:name="_Toc2284"/>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158"/>
      <w:bookmarkEnd w:id="159"/>
      <w:bookmarkEnd w:id="160"/>
      <w:bookmarkEnd w:id="161"/>
      <w:bookmarkEnd w:id="162"/>
    </w:p>
    <w:p>
      <w:pPr>
        <w:pStyle w:val="3"/>
        <w:rPr>
          <w:rFonts w:ascii="仿宋" w:hAnsi="仿宋" w:eastAsia="仿宋"/>
          <w:color w:val="000000"/>
        </w:rPr>
      </w:pPr>
      <w:bookmarkStart w:id="163" w:name="_Toc15396624"/>
      <w:bookmarkStart w:id="164" w:name="_Toc31231_WPSOffice_Level2"/>
      <w:bookmarkStart w:id="165" w:name="_Toc11685_WPSOffice_Level2"/>
      <w:bookmarkStart w:id="166" w:name="_Toc6638_WPSOffice_Level2"/>
      <w:bookmarkStart w:id="167" w:name="_Toc1379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63"/>
      <w:bookmarkEnd w:id="164"/>
      <w:bookmarkEnd w:id="165"/>
      <w:bookmarkEnd w:id="166"/>
      <w:bookmarkEnd w:id="167"/>
    </w:p>
    <w:p>
      <w:pPr>
        <w:pStyle w:val="3"/>
        <w:rPr>
          <w:rFonts w:ascii="仿宋" w:hAnsi="仿宋" w:eastAsia="仿宋"/>
          <w:color w:val="000000"/>
        </w:rPr>
      </w:pPr>
      <w:bookmarkStart w:id="168" w:name="_Toc15396625"/>
      <w:bookmarkStart w:id="169" w:name="_Toc29568_WPSOffice_Level2"/>
      <w:bookmarkStart w:id="170" w:name="_Toc25777_WPSOffice_Level2"/>
      <w:bookmarkStart w:id="171" w:name="_Toc16571_WPSOffice_Level2"/>
      <w:bookmarkStart w:id="172" w:name="_Toc2226"/>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68"/>
      <w:bookmarkEnd w:id="169"/>
      <w:bookmarkEnd w:id="170"/>
      <w:bookmarkEnd w:id="171"/>
      <w:bookmarkEnd w:id="172"/>
    </w:p>
    <w:p>
      <w:pPr>
        <w:pStyle w:val="3"/>
        <w:rPr>
          <w:rFonts w:ascii="仿宋" w:hAnsi="仿宋" w:eastAsia="仿宋"/>
          <w:color w:val="000000"/>
        </w:rPr>
      </w:pPr>
      <w:bookmarkStart w:id="173" w:name="_Toc15396626"/>
      <w:bookmarkStart w:id="174" w:name="_Toc1359_WPSOffice_Level2"/>
      <w:bookmarkStart w:id="175" w:name="_Toc24225_WPSOffice_Level2"/>
      <w:bookmarkStart w:id="176" w:name="_Toc21990_WPSOffice_Level2"/>
      <w:bookmarkStart w:id="177" w:name="_Toc14495"/>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73"/>
      <w:bookmarkEnd w:id="174"/>
      <w:bookmarkEnd w:id="175"/>
      <w:bookmarkEnd w:id="176"/>
      <w:bookmarkEnd w:id="177"/>
    </w:p>
    <w:p>
      <w:pPr>
        <w:pStyle w:val="3"/>
        <w:rPr>
          <w:rFonts w:ascii="仿宋" w:hAnsi="仿宋" w:eastAsia="仿宋"/>
          <w:color w:val="000000"/>
        </w:rPr>
      </w:pPr>
      <w:bookmarkStart w:id="178" w:name="_Toc15396627"/>
      <w:bookmarkStart w:id="179" w:name="_Toc10776_WPSOffice_Level2"/>
      <w:bookmarkStart w:id="180" w:name="_Toc25480_WPSOffice_Level2"/>
      <w:bookmarkStart w:id="181" w:name="_Toc20830_WPSOffice_Level2"/>
      <w:bookmarkStart w:id="182" w:name="_Toc2031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78"/>
      <w:bookmarkEnd w:id="179"/>
      <w:bookmarkEnd w:id="180"/>
      <w:bookmarkEnd w:id="181"/>
      <w:bookmarkEnd w:id="182"/>
    </w:p>
    <w:p>
      <w:pPr>
        <w:pStyle w:val="3"/>
        <w:rPr>
          <w:rFonts w:ascii="仿宋" w:hAnsi="仿宋" w:eastAsia="仿宋"/>
          <w:color w:val="000000"/>
        </w:rPr>
      </w:pPr>
      <w:bookmarkStart w:id="183" w:name="_Toc15396628"/>
      <w:bookmarkStart w:id="184" w:name="_Toc28046_WPSOffice_Level2"/>
      <w:bookmarkStart w:id="185" w:name="_Toc19680_WPSOffice_Level2"/>
      <w:bookmarkStart w:id="186" w:name="_Toc26361_WPSOffice_Level2"/>
      <w:bookmarkStart w:id="187" w:name="_Toc30856"/>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83"/>
      <w:bookmarkEnd w:id="184"/>
      <w:bookmarkEnd w:id="185"/>
      <w:bookmarkEnd w:id="186"/>
      <w:bookmarkEnd w:id="187"/>
    </w:p>
    <w:p>
      <w:pPr>
        <w:pStyle w:val="3"/>
        <w:rPr>
          <w:rFonts w:ascii="仿宋" w:hAnsi="仿宋" w:eastAsia="仿宋"/>
          <w:color w:val="000000"/>
        </w:rPr>
      </w:pPr>
      <w:bookmarkStart w:id="188" w:name="_Toc15396629"/>
      <w:bookmarkStart w:id="189" w:name="_Toc3179_WPSOffice_Level2"/>
      <w:bookmarkStart w:id="190" w:name="_Toc30753_WPSOffice_Level2"/>
      <w:bookmarkStart w:id="191" w:name="_Toc9038_WPSOffice_Level2"/>
      <w:bookmarkStart w:id="192" w:name="_Toc20998"/>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88"/>
      <w:bookmarkEnd w:id="189"/>
      <w:bookmarkEnd w:id="190"/>
      <w:bookmarkEnd w:id="191"/>
      <w:bookmarkEnd w:id="192"/>
    </w:p>
    <w:p>
      <w:pPr>
        <w:pStyle w:val="3"/>
        <w:rPr>
          <w:rFonts w:ascii="仿宋" w:hAnsi="仿宋" w:eastAsia="仿宋"/>
          <w:color w:val="000000"/>
        </w:rPr>
      </w:pPr>
      <w:bookmarkStart w:id="193" w:name="_Toc15396630"/>
      <w:bookmarkStart w:id="194" w:name="_Toc14340_WPSOffice_Level2"/>
      <w:bookmarkStart w:id="195" w:name="_Toc4661_WPSOffice_Level2"/>
      <w:bookmarkStart w:id="196" w:name="_Toc30544_WPSOffice_Level2"/>
      <w:bookmarkStart w:id="197" w:name="_Toc120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93"/>
      <w:bookmarkEnd w:id="194"/>
      <w:bookmarkEnd w:id="195"/>
      <w:bookmarkEnd w:id="196"/>
      <w:bookmarkEnd w:id="197"/>
    </w:p>
    <w:p>
      <w:pPr>
        <w:pStyle w:val="3"/>
        <w:rPr>
          <w:rFonts w:ascii="仿宋" w:hAnsi="仿宋" w:eastAsia="仿宋"/>
          <w:color w:val="000000" w:themeColor="text1"/>
          <w14:textFill>
            <w14:solidFill>
              <w14:schemeClr w14:val="tx1"/>
            </w14:solidFill>
          </w14:textFill>
        </w:rPr>
      </w:pPr>
      <w:bookmarkStart w:id="198" w:name="_Toc15396631"/>
      <w:bookmarkStart w:id="199" w:name="_Toc4315_WPSOffice_Level2"/>
      <w:bookmarkStart w:id="200" w:name="_Toc15207_WPSOffice_Level2"/>
      <w:bookmarkStart w:id="201" w:name="_Toc7929_WPSOffice_Level2"/>
      <w:bookmarkStart w:id="202" w:name="_Toc25200"/>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98"/>
      <w:bookmarkEnd w:id="199"/>
      <w:bookmarkEnd w:id="200"/>
      <w:bookmarkEnd w:id="201"/>
      <w:bookmarkEnd w:id="20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sz w:val="36"/>
        <w:szCs w:val="36"/>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2F9520D"/>
    <w:multiLevelType w:val="multilevel"/>
    <w:tmpl w:val="52F9520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091FC1"/>
    <w:rsid w:val="060C59F8"/>
    <w:rsid w:val="10C055FF"/>
    <w:rsid w:val="15624E6C"/>
    <w:rsid w:val="16BB723D"/>
    <w:rsid w:val="2385424F"/>
    <w:rsid w:val="240371BF"/>
    <w:rsid w:val="26B96A4C"/>
    <w:rsid w:val="29FD04D3"/>
    <w:rsid w:val="2AAE6E01"/>
    <w:rsid w:val="2BC87D73"/>
    <w:rsid w:val="319F7F4E"/>
    <w:rsid w:val="33442947"/>
    <w:rsid w:val="35A20D89"/>
    <w:rsid w:val="3B0B1EC7"/>
    <w:rsid w:val="3E74452B"/>
    <w:rsid w:val="476D6B5A"/>
    <w:rsid w:val="4DA51751"/>
    <w:rsid w:val="54955A75"/>
    <w:rsid w:val="5622199C"/>
    <w:rsid w:val="5CAE0CE7"/>
    <w:rsid w:val="5DE1211E"/>
    <w:rsid w:val="6DD02FCC"/>
    <w:rsid w:val="707014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WPSOffice手动目录 1"/>
    <w:qFormat/>
    <w:uiPriority w:val="0"/>
    <w:pPr>
      <w:ind w:leftChars="0"/>
    </w:pPr>
    <w:rPr>
      <w:rFonts w:ascii="Calibri" w:hAnsi="Calibri" w:eastAsia="宋体" w:cs="Times New Roman"/>
      <w:sz w:val="20"/>
      <w:szCs w:val="20"/>
    </w:rPr>
  </w:style>
  <w:style w:type="paragraph" w:customStyle="1" w:styleId="30">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收、支决算总计变动情况图</a:t>
            </a:r>
            <a:endParaRPr sz="1600" b="1"/>
          </a:p>
        </c:rich>
      </c:tx>
      <c:layout/>
      <c:overlay val="0"/>
      <c:spPr>
        <a:noFill/>
        <a:ln>
          <a:noFill/>
        </a:ln>
        <a:effectLst/>
      </c:spPr>
    </c:title>
    <c:autoTitleDeleted val="0"/>
    <c:plotArea>
      <c:layout>
        <c:manualLayout>
          <c:layoutTarget val="inner"/>
          <c:xMode val="edge"/>
          <c:yMode val="edge"/>
          <c:x val="0.067325"/>
          <c:y val="0.274333333333333"/>
          <c:w val="0.7038"/>
          <c:h val="0.6454"/>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250.01</c:v>
                </c:pt>
                <c:pt idx="1">
                  <c:v>250.01</c:v>
                </c:pt>
              </c:numCache>
            </c:numRef>
          </c:val>
        </c:ser>
        <c:ser>
          <c:idx val="1"/>
          <c:order val="1"/>
          <c:tx>
            <c:strRef>
              <c:f>Sheet1!$C$1</c:f>
              <c:strCache>
                <c:ptCount val="1"/>
                <c:pt idx="0">
                  <c:v>2017年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238.01</c:v>
                </c:pt>
                <c:pt idx="1">
                  <c:v>238.01</c:v>
                </c:pt>
              </c:numCache>
            </c:numRef>
          </c:val>
        </c:ser>
        <c:dLbls>
          <c:showLegendKey val="0"/>
          <c:showVal val="1"/>
          <c:showCatName val="0"/>
          <c:showSerName val="0"/>
          <c:showPercent val="0"/>
          <c:showBubbleSize val="0"/>
        </c:dLbls>
        <c:gapWidth val="150"/>
        <c:overlap val="0"/>
        <c:axId val="710792279"/>
        <c:axId val="258345685"/>
      </c:barChart>
      <c:catAx>
        <c:axId val="71079227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345685"/>
        <c:crosses val="autoZero"/>
        <c:auto val="1"/>
        <c:lblAlgn val="ctr"/>
        <c:lblOffset val="100"/>
        <c:noMultiLvlLbl val="0"/>
      </c:catAx>
      <c:valAx>
        <c:axId val="258345685"/>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792279"/>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收入决算结构图</a:t>
            </a:r>
            <a:endParaRPr sz="1600"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dLbl>
              <c:idx val="0"/>
              <c:layout>
                <c:manualLayout>
                  <c:x val="0.277669924846319"/>
                  <c:y val="-0.700100933657264"/>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sz="1400"/>
                      <a:t>一般公共预算财政拨款收入, </a:t>
                    </a:r>
                    <a:r>
                      <a:rPr lang="en-US" altLang="zh-CN" sz="1400"/>
                      <a:t>100%</a:t>
                    </a:r>
                    <a:endParaRPr lang="en-US" altLang="zh-CN" sz="1400"/>
                  </a:p>
                </c:rich>
              </c:tx>
              <c:dLblPos val="bestFit"/>
              <c:showLegendKey val="0"/>
              <c:showVal val="1"/>
              <c:showCatName val="1"/>
              <c:showSerName val="0"/>
              <c:showPercent val="0"/>
              <c:showBubbleSize val="0"/>
              <c:extLst>
                <c:ext xmlns:c15="http://schemas.microsoft.com/office/drawing/2012/chart" uri="{CE6537A1-D6FC-4f65-9D91-7224C49458BB}">
                  <c15:layout>
                    <c:manualLayout>
                      <c:w val="0.436578171091445"/>
                      <c:h val="0.14672256097561"/>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224.91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a:ln w="19050">
              <a:solidFill>
                <a:schemeClr val="lt1"/>
              </a:solidFill>
            </a:ln>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92426489613069"/>
                  <c:y val="-0.078244874783487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6125"/>
                      <c:h val="0.197567740558993"/>
                    </c:manualLayout>
                  </c15:layout>
                </c:ext>
              </c:extLst>
            </c:dLbl>
            <c:dLbl>
              <c:idx val="1"/>
              <c:layout>
                <c:manualLayout>
                  <c:x val="-0.0516573418584624"/>
                  <c:y val="0.002831618079770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1625"/>
                      <c:h val="0.1802858971623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192.1</c:v>
                </c:pt>
                <c:pt idx="1">
                  <c:v>57.91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财政拨款收、支决算总计变动情况图</a:t>
            </a:r>
            <a:endParaRPr b="1"/>
          </a:p>
        </c:rich>
      </c:tx>
      <c:layout/>
      <c:overlay val="0"/>
      <c:spPr>
        <a:noFill/>
        <a:ln>
          <a:noFill/>
        </a:ln>
        <a:effectLst/>
      </c:spPr>
    </c:title>
    <c:autoTitleDeleted val="0"/>
    <c:plotArea>
      <c:layout>
        <c:manualLayout>
          <c:layoutTarget val="inner"/>
          <c:xMode val="edge"/>
          <c:yMode val="edge"/>
          <c:x val="0.119325"/>
          <c:y val="0.127"/>
          <c:w val="0.682175"/>
          <c:h val="0.7234"/>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250.01</c:v>
                </c:pt>
                <c:pt idx="1">
                  <c:v>250.01</c:v>
                </c:pt>
              </c:numCache>
            </c:numRef>
          </c:val>
        </c:ser>
        <c:ser>
          <c:idx val="1"/>
          <c:order val="1"/>
          <c:tx>
            <c:strRef>
              <c:f>Sheet1!$C$1</c:f>
              <c:strCache>
                <c:ptCount val="1"/>
                <c:pt idx="0">
                  <c:v>2017年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238.01</c:v>
                </c:pt>
                <c:pt idx="1">
                  <c:v>238.01</c:v>
                </c:pt>
              </c:numCache>
            </c:numRef>
          </c:val>
        </c:ser>
        <c:dLbls>
          <c:showLegendKey val="0"/>
          <c:showVal val="1"/>
          <c:showCatName val="0"/>
          <c:showSerName val="0"/>
          <c:showPercent val="0"/>
          <c:showBubbleSize val="0"/>
        </c:dLbls>
        <c:gapWidth val="150"/>
        <c:overlap val="0"/>
        <c:axId val="48530355"/>
        <c:axId val="9426850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财政拨款收入总计</c:v>
                      </c:pt>
                      <c:pt idx="1">
                        <c:v>财政拨款支出总计</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85303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1" i="0" u="none" strike="noStrike" kern="1200" baseline="0">
                <a:solidFill>
                  <a:schemeClr val="tx1">
                    <a:lumMod val="65000"/>
                    <a:lumOff val="35000"/>
                  </a:schemeClr>
                </a:solidFill>
                <a:latin typeface="+mn-lt"/>
                <a:ea typeface="+mn-ea"/>
                <a:cs typeface="+mn-cs"/>
              </a:defRPr>
            </a:pPr>
          </a:p>
        </c:txPr>
        <c:crossAx val="942685092"/>
        <c:crosses val="autoZero"/>
        <c:auto val="1"/>
        <c:lblAlgn val="ctr"/>
        <c:lblOffset val="100"/>
        <c:noMultiLvlLbl val="0"/>
      </c:catAx>
      <c:valAx>
        <c:axId val="9426850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30355"/>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2017年</c:v>
                </c:pt>
              </c:strCache>
            </c:strRef>
          </c:cat>
          <c:val>
            <c:numRef>
              <c:f>Sheet1!$B$2:$B$3</c:f>
              <c:numCache>
                <c:formatCode>General</c:formatCode>
                <c:ptCount val="2"/>
                <c:pt idx="0">
                  <c:v>250.01</c:v>
                </c:pt>
                <c:pt idx="1">
                  <c:v>238.01</c:v>
                </c:pt>
              </c:numCache>
            </c:numRef>
          </c:val>
        </c:ser>
        <c:dLbls>
          <c:showLegendKey val="0"/>
          <c:showVal val="1"/>
          <c:showCatName val="0"/>
          <c:showSerName val="0"/>
          <c:showPercent val="0"/>
          <c:showBubbleSize val="0"/>
        </c:dLbls>
        <c:gapWidth val="150"/>
        <c:overlap val="0"/>
        <c:axId val="980960281"/>
        <c:axId val="89038399"/>
      </c:barChart>
      <c:catAx>
        <c:axId val="980960281"/>
        <c:scaling>
          <c:orientation val="minMax"/>
        </c:scaling>
        <c:delete val="0"/>
        <c:axPos val="b"/>
        <c:numFmt formatCode="#,##0.00_);[Red]\(#,##0.00\)"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crossAx val="89038399"/>
        <c:crosses val="autoZero"/>
        <c:auto val="1"/>
        <c:lblAlgn val="ctr"/>
        <c:lblOffset val="100"/>
        <c:tickLblSkip val="1"/>
        <c:noMultiLvlLbl val="0"/>
      </c:catAx>
      <c:valAx>
        <c:axId val="89038399"/>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960281"/>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5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7825"/>
          <c:y val="0.502083333333333"/>
        </c:manualLayout>
      </c:layout>
      <c:overlay val="0"/>
      <c:spPr>
        <a:noFill/>
        <a:ln>
          <a:noFill/>
        </a:ln>
        <a:effectLst/>
      </c:spPr>
      <c:txPr>
        <a:bodyPr rot="0" spcFirstLastPara="0" vertOverflow="ellipsis" vert="horz" wrap="square" anchor="ctr" anchorCtr="1"/>
        <a:lstStyle/>
        <a:p>
          <a:pPr>
            <a:defRPr lang="zh-CN" sz="1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500" b="1"/>
              <a:t>一般公共预算财政拨款支出决算结构图</a:t>
            </a:r>
            <a:endParaRPr sz="15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一般公共服务（类）82.63%</c:v>
                </c:pt>
                <c:pt idx="1">
                  <c:v>社会保障和就业（类）9.9%</c:v>
                </c:pt>
                <c:pt idx="2">
                  <c:v>医疗卫生（类）2.62%</c:v>
                </c:pt>
                <c:pt idx="3">
                  <c:v>住房保障（类）4.84%</c:v>
                </c:pt>
              </c:strCache>
            </c:strRef>
          </c:cat>
          <c:val>
            <c:numRef>
              <c:f>Sheet1!$B$2:$B$5</c:f>
              <c:numCache>
                <c:formatCode>General</c:formatCode>
                <c:ptCount val="4"/>
                <c:pt idx="0">
                  <c:v>206.58</c:v>
                </c:pt>
                <c:pt idx="1">
                  <c:v>24.77</c:v>
                </c:pt>
                <c:pt idx="2">
                  <c:v>6.56</c:v>
                </c:pt>
                <c:pt idx="3">
                  <c:v>12.1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1"/>
              <a:t>“</a:t>
            </a:r>
            <a:r>
              <a:rPr altLang="en-US" b="1"/>
              <a:t>三公</a:t>
            </a:r>
            <a:r>
              <a:rPr lang="en-US" altLang="zh-CN" b="1"/>
              <a:t>”</a:t>
            </a:r>
            <a:r>
              <a:rPr altLang="en-US" b="1"/>
              <a:t>经费财政拨款支出结构图</a:t>
            </a:r>
            <a:endParaRPr altLang="en-US"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因公出国（境）费0%</c:v>
                </c:pt>
                <c:pt idx="1">
                  <c:v>公务用车购置及运行维护费90%</c:v>
                </c:pt>
                <c:pt idx="2">
                  <c:v>公务接待费10%</c:v>
                </c:pt>
              </c:strCache>
            </c:strRef>
          </c:cat>
          <c:val>
            <c:numRef>
              <c:f>Sheet1!$B$2:$B$4</c:f>
              <c:numCache>
                <c:formatCode>General</c:formatCode>
                <c:ptCount val="3"/>
                <c:pt idx="0">
                  <c:v>0</c:v>
                </c:pt>
                <c:pt idx="1">
                  <c:v>1.5</c:v>
                </c:pt>
                <c:pt idx="2">
                  <c:v>0.17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505557025668166"/>
          <c:y val="0.247004608294931"/>
          <c:w val="0.478565758137073"/>
          <c:h val="0.627649769585253"/>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19</TotalTime>
  <ScaleCrop>false</ScaleCrop>
  <LinksUpToDate>false</LinksUpToDate>
  <CharactersWithSpaces>9641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桂桂</cp:lastModifiedBy>
  <cp:lastPrinted>2019-08-01T00:48:00Z</cp:lastPrinted>
  <dcterms:modified xsi:type="dcterms:W3CDTF">2021-06-15T12:19:18Z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F7429F46CA0C48CD92EEE71625A97D40</vt:lpwstr>
  </property>
</Properties>
</file>