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425"/>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开江县图书馆</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2"/>
      </w:pPr>
      <w:r>
        <w:rPr>
          <w:rFonts w:hint="eastAsia"/>
        </w:rPr>
        <w:t>公开时间：2020年9月21日</w:t>
      </w:r>
    </w:p>
    <w:p/>
    <w:p>
      <w:pPr>
        <w:pStyle w:val="2"/>
        <w:rPr>
          <w:rFonts w:cstheme="minorBidi"/>
        </w:rPr>
      </w:pPr>
      <w:r>
        <w:fldChar w:fldCharType="begin"/>
      </w:r>
      <w:r>
        <w:instrText xml:space="preserve"> HYPERLINK \l "_Toc15396599" </w:instrText>
      </w:r>
      <w:r>
        <w:fldChar w:fldCharType="separate"/>
      </w:r>
      <w:r>
        <w:rPr>
          <w:rStyle w:val="15"/>
          <w:rFonts w:hint="eastAsia"/>
          <w:color w:val="auto"/>
        </w:rPr>
        <w:t>第一部分</w:t>
      </w:r>
      <w:r>
        <w:rPr>
          <w:rStyle w:val="15"/>
          <w:color w:val="auto"/>
        </w:rPr>
        <w:t xml:space="preserve"> </w:t>
      </w:r>
      <w:r>
        <w:rPr>
          <w:rStyle w:val="15"/>
          <w:rFonts w:hint="eastAsia"/>
          <w:color w:val="auto"/>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color w:val="auto"/>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2"/>
      </w:pPr>
      <w:r>
        <w:fldChar w:fldCharType="begin"/>
      </w:r>
      <w:r>
        <w:instrText xml:space="preserve"> HYPERLINK \l "_Toc15396602" </w:instrText>
      </w:r>
      <w:r>
        <w:fldChar w:fldCharType="separate"/>
      </w:r>
      <w:r>
        <w:rPr>
          <w:rStyle w:val="15"/>
          <w:rFonts w:hint="eastAsia"/>
          <w:color w:val="auto"/>
        </w:rPr>
        <w:t>第二部分</w:t>
      </w:r>
      <w:r>
        <w:rPr>
          <w:rStyle w:val="15"/>
          <w:color w:val="auto"/>
        </w:rPr>
        <w:t xml:space="preserve"> 201</w:t>
      </w:r>
      <w:r>
        <w:rPr>
          <w:rStyle w:val="15"/>
          <w:rFonts w:hint="eastAsia"/>
          <w:color w:val="auto"/>
        </w:rPr>
        <w:t>9年度部门决算情况说明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color w:val="auto"/>
          <w:sz w:val="28"/>
          <w:szCs w:val="28"/>
        </w:rPr>
        <w:t>一、</w:t>
      </w:r>
      <w:r>
        <w:rPr>
          <w:rStyle w:val="15"/>
          <w:rFonts w:hint="eastAsia" w:ascii="仿宋" w:hAnsi="仿宋" w:eastAsia="仿宋"/>
          <w:color w:val="auto"/>
          <w:sz w:val="28"/>
          <w:szCs w:val="28"/>
        </w:rPr>
        <w:t>收</w:t>
      </w:r>
      <w:r>
        <w:rPr>
          <w:rStyle w:val="15"/>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color w:val="auto"/>
          <w:sz w:val="28"/>
          <w:szCs w:val="28"/>
        </w:rPr>
        <w:t>二、</w:t>
      </w:r>
      <w:r>
        <w:rPr>
          <w:rStyle w:val="15"/>
          <w:rFonts w:hint="eastAsia" w:ascii="仿宋" w:hAnsi="仿宋" w:eastAsia="仿宋"/>
          <w:color w:val="auto"/>
          <w:sz w:val="28"/>
          <w:szCs w:val="28"/>
        </w:rPr>
        <w:t>收</w:t>
      </w:r>
      <w:r>
        <w:rPr>
          <w:rStyle w:val="15"/>
          <w:rFonts w:hint="eastAsia" w:ascii="仿宋" w:hAnsi="仿宋" w:eastAsia="仿宋" w:cstheme="majorBidi"/>
          <w:bCs/>
          <w:color w:val="auto"/>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color w:val="auto"/>
          <w:sz w:val="28"/>
          <w:szCs w:val="28"/>
        </w:rPr>
        <w:t>三、</w:t>
      </w:r>
      <w:r>
        <w:rPr>
          <w:rStyle w:val="15"/>
          <w:rFonts w:hint="eastAsia" w:ascii="仿宋" w:hAnsi="仿宋" w:eastAsia="仿宋"/>
          <w:color w:val="auto"/>
          <w:sz w:val="28"/>
          <w:szCs w:val="28"/>
        </w:rPr>
        <w:t>支</w:t>
      </w:r>
      <w:r>
        <w:rPr>
          <w:rStyle w:val="15"/>
          <w:rFonts w:hint="eastAsia" w:ascii="仿宋" w:hAnsi="仿宋" w:eastAsia="仿宋" w:cstheme="majorBidi"/>
          <w:bCs/>
          <w:color w:val="auto"/>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color w:val="auto"/>
          <w:sz w:val="28"/>
          <w:szCs w:val="28"/>
        </w:rPr>
        <w:t>四、财</w:t>
      </w:r>
      <w:r>
        <w:rPr>
          <w:rStyle w:val="15"/>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color w:val="auto"/>
          <w:sz w:val="28"/>
          <w:szCs w:val="28"/>
        </w:rPr>
        <w:t>五、一</w:t>
      </w:r>
      <w:r>
        <w:rPr>
          <w:rStyle w:val="15"/>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hint="eastAsia"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color w:val="auto"/>
          <w:sz w:val="28"/>
          <w:szCs w:val="28"/>
        </w:rPr>
        <w:t>六、一</w:t>
      </w:r>
      <w:r>
        <w:rPr>
          <w:rStyle w:val="15"/>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eastAsia="zh-CN"/>
        </w:rPr>
      </w:pPr>
      <w:r>
        <w:fldChar w:fldCharType="begin"/>
      </w:r>
      <w:r>
        <w:instrText xml:space="preserve"> HYPERLINK \l "_Toc15396609" </w:instrText>
      </w:r>
      <w:r>
        <w:fldChar w:fldCharType="separate"/>
      </w:r>
      <w:r>
        <w:rPr>
          <w:rStyle w:val="15"/>
          <w:rFonts w:hint="eastAsia" w:ascii="仿宋" w:hAnsi="仿宋" w:eastAsia="仿宋"/>
          <w:color w:val="auto"/>
          <w:sz w:val="28"/>
          <w:szCs w:val="28"/>
        </w:rPr>
        <w:t>七、</w:t>
      </w:r>
      <w:r>
        <w:rPr>
          <w:rStyle w:val="15"/>
          <w:rFonts w:ascii="仿宋" w:hAnsi="仿宋" w:eastAsia="仿宋"/>
          <w:color w:val="auto"/>
          <w:sz w:val="28"/>
          <w:szCs w:val="28"/>
        </w:rPr>
        <w:t>“</w:t>
      </w:r>
      <w:r>
        <w:rPr>
          <w:rStyle w:val="15"/>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eastAsia="zh-CN"/>
        </w:rPr>
      </w:pPr>
      <w:r>
        <w:fldChar w:fldCharType="begin"/>
      </w:r>
      <w:r>
        <w:instrText xml:space="preserve"> HYPERLINK \l "_Toc15396610" </w:instrText>
      </w:r>
      <w:r>
        <w:fldChar w:fldCharType="separate"/>
      </w:r>
      <w:r>
        <w:rPr>
          <w:rStyle w:val="15"/>
          <w:rFonts w:hint="eastAsia" w:ascii="仿宋" w:hAnsi="仿宋" w:eastAsia="仿宋"/>
          <w:color w:val="auto"/>
          <w:sz w:val="28"/>
          <w:szCs w:val="28"/>
        </w:rPr>
        <w:t>八、</w:t>
      </w:r>
      <w:r>
        <w:rPr>
          <w:rStyle w:val="15"/>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sz w:val="28"/>
          <w:szCs w:val="28"/>
          <w:lang w:eastAsia="zh-CN"/>
        </w:rPr>
      </w:pPr>
      <w:r>
        <w:fldChar w:fldCharType="begin"/>
      </w:r>
      <w:r>
        <w:instrText xml:space="preserve"> HYPERLINK \l "_Toc15396611" </w:instrText>
      </w:r>
      <w:r>
        <w:fldChar w:fldCharType="separate"/>
      </w:r>
      <w:r>
        <w:rPr>
          <w:rStyle w:val="15"/>
          <w:rFonts w:hint="eastAsia" w:ascii="仿宋" w:hAnsi="仿宋" w:eastAsia="仿宋" w:cstheme="majorBidi"/>
          <w:bCs/>
          <w:color w:val="auto"/>
          <w:sz w:val="28"/>
          <w:szCs w:val="28"/>
        </w:rPr>
        <w:t>九、</w:t>
      </w:r>
      <w:r>
        <w:rPr>
          <w:rStyle w:val="15"/>
          <w:rFonts w:hint="eastAsia" w:ascii="仿宋" w:hAnsi="仿宋" w:eastAsia="仿宋"/>
          <w:color w:val="auto"/>
          <w:sz w:val="28"/>
          <w:szCs w:val="28"/>
        </w:rPr>
        <w:t xml:space="preserve"> 国</w:t>
      </w:r>
      <w:r>
        <w:rPr>
          <w:rStyle w:val="15"/>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eastAsia="zh-CN"/>
        </w:rPr>
      </w:pPr>
      <w:r>
        <w:fldChar w:fldCharType="begin"/>
      </w:r>
      <w:r>
        <w:instrText xml:space="preserve"> HYPERLINK \l "_Toc15396612" </w:instrText>
      </w:r>
      <w:r>
        <w:fldChar w:fldCharType="separate"/>
      </w:r>
      <w:r>
        <w:rPr>
          <w:rStyle w:val="15"/>
          <w:rFonts w:hint="eastAsia" w:ascii="仿宋" w:hAnsi="仿宋" w:eastAsia="仿宋"/>
          <w:color w:val="auto"/>
          <w:sz w:val="28"/>
          <w:szCs w:val="28"/>
        </w:rPr>
        <w:t>十</w:t>
      </w:r>
      <w:r>
        <w:rPr>
          <w:rStyle w:val="15"/>
          <w:rFonts w:hint="eastAsia" w:ascii="仿宋" w:hAnsi="仿宋" w:eastAsia="仿宋" w:cstheme="majorBidi"/>
          <w:bCs/>
          <w:color w:val="auto"/>
          <w:sz w:val="28"/>
          <w:szCs w:val="28"/>
        </w:rPr>
        <w:t>、其他重要事项的情况说明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lang w:val="en-US" w:eastAsia="zh-CN"/>
        </w:rPr>
        <w:t>2</w:t>
      </w:r>
    </w:p>
    <w:p>
      <w:pPr>
        <w:pStyle w:val="2"/>
        <w:rPr>
          <w:rFonts w:hint="eastAsia" w:eastAsia="仿宋" w:cstheme="minorBidi"/>
          <w:lang w:eastAsia="zh-CN"/>
        </w:rPr>
      </w:pPr>
      <w:r>
        <w:fldChar w:fldCharType="begin"/>
      </w:r>
      <w:r>
        <w:instrText xml:space="preserve"> HYPERLINK \l "_Toc15396613" </w:instrText>
      </w:r>
      <w:r>
        <w:fldChar w:fldCharType="separate"/>
      </w:r>
      <w:r>
        <w:rPr>
          <w:rStyle w:val="15"/>
          <w:rFonts w:hint="eastAsia"/>
          <w:bCs/>
          <w:color w:val="auto"/>
          <w:kern w:val="44"/>
        </w:rPr>
        <w:t>第三部分</w:t>
      </w:r>
      <w:r>
        <w:rPr>
          <w:rStyle w:val="15"/>
          <w:rFonts w:hint="eastAsia"/>
          <w:color w:val="auto"/>
        </w:rPr>
        <w:t xml:space="preserve"> 名</w:t>
      </w:r>
      <w:r>
        <w:rPr>
          <w:rStyle w:val="15"/>
          <w:rFonts w:hint="eastAsia"/>
          <w:bCs/>
          <w:color w:val="auto"/>
          <w:kern w:val="44"/>
        </w:rPr>
        <w:t>词解释</w:t>
      </w:r>
      <w:r>
        <w:tab/>
      </w:r>
      <w:r>
        <w:rPr>
          <w:rFonts w:hint="eastAsia"/>
        </w:rPr>
        <w:t>1</w:t>
      </w:r>
      <w:r>
        <w:rPr>
          <w:rFonts w:hint="eastAsia"/>
        </w:rPr>
        <w:fldChar w:fldCharType="end"/>
      </w:r>
      <w:r>
        <w:rPr>
          <w:rFonts w:hint="eastAsia"/>
          <w:lang w:val="en-US" w:eastAsia="zh-CN"/>
        </w:rPr>
        <w:t>6</w:t>
      </w:r>
    </w:p>
    <w:p>
      <w:pPr>
        <w:pStyle w:val="2"/>
        <w:rPr>
          <w:rFonts w:hint="eastAsia" w:eastAsia="仿宋" w:cstheme="minorBidi"/>
          <w:lang w:eastAsia="zh-CN"/>
        </w:rPr>
      </w:pPr>
      <w:r>
        <w:fldChar w:fldCharType="begin"/>
      </w:r>
      <w:r>
        <w:instrText xml:space="preserve"> HYPERLINK \l "_Toc15396614" </w:instrText>
      </w:r>
      <w:r>
        <w:fldChar w:fldCharType="separate"/>
      </w:r>
      <w:r>
        <w:rPr>
          <w:rStyle w:val="15"/>
          <w:rFonts w:hint="eastAsia"/>
          <w:color w:val="auto"/>
        </w:rPr>
        <w:t>第</w:t>
      </w:r>
      <w:r>
        <w:rPr>
          <w:rStyle w:val="15"/>
          <w:rFonts w:hint="eastAsia"/>
          <w:bCs/>
          <w:color w:val="auto"/>
          <w:kern w:val="44"/>
        </w:rPr>
        <w:t>四部分</w:t>
      </w:r>
      <w:r>
        <w:rPr>
          <w:rStyle w:val="15"/>
          <w:bCs/>
          <w:color w:val="auto"/>
          <w:kern w:val="44"/>
        </w:rPr>
        <w:t xml:space="preserve"> </w:t>
      </w:r>
      <w:r>
        <w:rPr>
          <w:rStyle w:val="15"/>
          <w:rFonts w:hint="eastAsia"/>
          <w:bCs/>
          <w:color w:val="auto"/>
          <w:kern w:val="44"/>
        </w:rPr>
        <w:t>附件</w:t>
      </w:r>
      <w:r>
        <w:tab/>
      </w:r>
      <w:r>
        <w:rPr>
          <w:rFonts w:hint="eastAsia"/>
        </w:rPr>
        <w:t>1</w:t>
      </w:r>
      <w:r>
        <w:rPr>
          <w:rFonts w:hint="eastAsia"/>
        </w:rPr>
        <w:fldChar w:fldCharType="end"/>
      </w:r>
      <w:r>
        <w:rPr>
          <w:rFonts w:hint="eastAsia"/>
          <w:lang w:val="en-US" w:eastAsia="zh-CN"/>
        </w:rPr>
        <w:t>9</w:t>
      </w:r>
    </w:p>
    <w:p>
      <w:pPr>
        <w:pStyle w:val="11"/>
        <w:rPr>
          <w:rFonts w:ascii="仿宋" w:hAnsi="仿宋" w:eastAsia="仿宋" w:cstheme="minorBidi"/>
          <w:sz w:val="28"/>
          <w:szCs w:val="28"/>
        </w:rPr>
      </w:pPr>
    </w:p>
    <w:p>
      <w:pPr>
        <w:pStyle w:val="11"/>
        <w:rPr>
          <w:rFonts w:ascii="仿宋" w:hAnsi="仿宋" w:eastAsia="仿宋" w:cstheme="minorBidi"/>
          <w:sz w:val="28"/>
          <w:szCs w:val="28"/>
        </w:rPr>
      </w:pPr>
    </w:p>
    <w:p>
      <w:pPr>
        <w:pStyle w:val="2"/>
        <w:rPr>
          <w:rFonts w:hint="eastAsia" w:eastAsia="仿宋" w:cstheme="minorBidi"/>
          <w:lang w:eastAsia="zh-CN"/>
        </w:rPr>
      </w:pPr>
      <w:r>
        <w:fldChar w:fldCharType="begin"/>
      </w:r>
      <w:r>
        <w:instrText xml:space="preserve"> HYPERLINK \l "_Toc15396618" </w:instrText>
      </w:r>
      <w:r>
        <w:fldChar w:fldCharType="separate"/>
      </w:r>
      <w:r>
        <w:rPr>
          <w:rStyle w:val="15"/>
          <w:rFonts w:hint="eastAsia"/>
          <w:color w:val="auto"/>
        </w:rPr>
        <w:t>第</w:t>
      </w:r>
      <w:r>
        <w:rPr>
          <w:rStyle w:val="15"/>
          <w:rFonts w:hint="eastAsia"/>
          <w:bCs/>
          <w:color w:val="auto"/>
          <w:kern w:val="44"/>
        </w:rPr>
        <w:t>五部分</w:t>
      </w:r>
      <w:r>
        <w:rPr>
          <w:rStyle w:val="15"/>
          <w:bCs/>
          <w:color w:val="auto"/>
          <w:kern w:val="44"/>
        </w:rPr>
        <w:t xml:space="preserve"> </w:t>
      </w:r>
      <w:r>
        <w:rPr>
          <w:rStyle w:val="15"/>
          <w:rFonts w:hint="eastAsia"/>
          <w:bCs/>
          <w:color w:val="auto"/>
          <w:kern w:val="44"/>
        </w:rPr>
        <w:t>附表</w:t>
      </w:r>
      <w:r>
        <w:tab/>
      </w:r>
      <w:r>
        <w:rPr>
          <w:rFonts w:hint="eastAsia"/>
        </w:rPr>
        <w:t>2</w:t>
      </w:r>
      <w:r>
        <w:rPr>
          <w:rFonts w:hint="eastAsia"/>
        </w:rPr>
        <w:fldChar w:fldCharType="end"/>
      </w:r>
      <w:r>
        <w:rPr>
          <w:rFonts w:hint="eastAsia"/>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color w:val="auto"/>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color w:val="auto"/>
          <w:sz w:val="28"/>
          <w:szCs w:val="28"/>
        </w:rPr>
        <w:t>收入决算表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color w:val="auto"/>
          <w:sz w:val="28"/>
          <w:szCs w:val="28"/>
        </w:rPr>
        <w:t>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sz w:val="28"/>
          <w:szCs w:val="28"/>
          <w:lang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Style w:val="15"/>
          <w:rFonts w:hint="eastAsia" w:ascii="仿宋" w:hAnsi="仿宋" w:eastAsia="仿宋"/>
          <w:color w:val="auto"/>
          <w:sz w:val="28"/>
          <w:szCs w:val="28"/>
        </w:rPr>
        <w:t>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4"/>
          <w:lang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lang w:val="en-US" w:eastAsia="zh-CN"/>
        </w:rPr>
        <w:t>5</w:t>
      </w:r>
    </w:p>
    <w:p>
      <w:pPr>
        <w:widowControl/>
        <w:adjustRightInd w:val="0"/>
        <w:snapToGrid w:val="0"/>
        <w:spacing w:line="440" w:lineRule="exact"/>
        <w:ind w:firstLine="480" w:firstLineChars="20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color w:val="000000"/>
          <w:kern w:val="2"/>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color w:val="000000"/>
          <w:kern w:val="2"/>
          <w:sz w:val="32"/>
          <w:szCs w:val="32"/>
        </w:rPr>
        <w:t>开江县图书馆是国家三级图书馆，其主要职能是保存借阅图书资料，促进社会经济文化发展。</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napToGrid w:val="0"/>
        <w:spacing w:line="52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_GB2312" w:eastAsia="仿宋_GB2312"/>
          <w:color w:val="000000"/>
          <w:sz w:val="32"/>
          <w:szCs w:val="32"/>
          <w:lang w:val="en-US" w:eastAsia="zh-CN"/>
        </w:rPr>
        <w:t>1、</w:t>
      </w:r>
      <w:r>
        <w:rPr>
          <w:rFonts w:hint="eastAsia" w:ascii="仿宋" w:hAnsi="仿宋" w:eastAsia="仿宋" w:cs="Times New Roman"/>
          <w:bCs/>
          <w:color w:val="000000"/>
          <w:kern w:val="0"/>
          <w:sz w:val="32"/>
          <w:szCs w:val="32"/>
          <w:lang w:val="en-US" w:eastAsia="zh-CN" w:bidi="ar-SA"/>
        </w:rPr>
        <w:t>免费开放有力推进。全年，图书馆按照每周56小时标准免费开放，严格执行“延时、错时”开放制度。图书外借册次达到38168册，其中图书文献外借19017人次；总流通人次10686人次；新办借阅证读者158位。持续推进数字阅读推广，数字资源进一步丰富，购置数字阅读本四台，网站、微信公众平台建设进一步完善。</w:t>
      </w:r>
    </w:p>
    <w:p>
      <w:pPr>
        <w:snapToGrid w:val="0"/>
        <w:spacing w:line="520"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读者活动丰富多彩。今年以来，累计开展各类读者活动52场，服务群众超过10万人次。创造性开展农村留守儿童课外阅读辅导系列活动，社会反响较好，并作为读者服务示范项目在全省作经验交流，目前该系列活动已持续开展6期。开江县青年干部读书分享会系列活动成功开启，该系列活动旨在激发广大青年干部读书兴趣，在阅读中提升精神境界、塑造高尚品格，进而锻造出一支意志品质坚定、综合素质过硬、敢担当肯干事的优秀青年干部队伍。持续性开展开江县图书馆2019公益大课堂系列活动，该课堂社会影响力大，通过课堂主题征集、讲师征集等方式，具有较强的开放性、互动性、针对性，目前已成功举办12期，涵盖主题有普通话、语言表达、家庭礼仪、汉服文化、化妆美妆等课堂主题，深受读者喜爱，服务读者超1000人次。</w:t>
      </w:r>
    </w:p>
    <w:p>
      <w:pPr>
        <w:spacing w:line="560" w:lineRule="exact"/>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春节系列活动期间，开展新春诵读会、新春灯谜会、家庭关系讲座、心理健康讲座各一场，该系列活动针对性强，为全县人民带来新春欢乐的同时，也为外出务工及留守人员疏导了一些常见心理问题，活动得到了广泛参与者的好评，成效显著，累计服务人口超2万余人。中秋节期间开展“万人赏月诵中秋”暨2019开江县首届中秋节拜月大典一场，该活动是集拜月仪式、诵读、灯谜、汉服秀为一体的大型文艺晚会，服务群众超3000人次。</w:t>
      </w:r>
    </w:p>
    <w:p>
      <w:pPr>
        <w:pStyle w:val="2"/>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开展“万人赏月诵中秋”诵读大赛一场，选送优秀节目两个到市上参赛，其中《月光下的中国》获得全市一等奖。开展“童心绘祖国”少儿图文创意大赛一场，选送10幅优秀作品到市上参赛，获一等奖一个，二等奖二个，三等奖一个。选送“为祖国点赞”专题演讲节目一个到市上参赛，获一等奖并将代表全市参加省级比赛。开展少儿书法美术大赛一场，收到参赛作品300余幅，目前正处于评奖阶段。</w:t>
      </w:r>
    </w:p>
    <w:p>
      <w:pPr>
        <w:spacing w:line="560" w:lineRule="exact"/>
        <w:ind w:firstLine="640" w:firstLineChars="200"/>
        <w:jc w:val="left"/>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书院建设稳步推进。今年以来，在上级部门的关心支持下，实现了习新书院全面免费开放，服务水平不断提高，初步统计，接待读者累计8万余人次，依托书院开展各类读者活动23场次，相关设施设备逐步完善。现已成为我县意识形态工作高地、开江县党委中心组第二课堂、我县文化艺术发展重要基地，并成功申报成为达州市第二批社科普及基地。</w:t>
      </w:r>
    </w:p>
    <w:p/>
    <w:p>
      <w:pPr>
        <w:pStyle w:val="4"/>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color w:val="000000"/>
          <w:sz w:val="32"/>
          <w:szCs w:val="32"/>
        </w:rPr>
        <w:t>根据开江府办发〔2011〕79号文件，开江县图书馆事业编制6名，设馆长1名，副馆长1名，为县文广新局所属事业单位。</w:t>
      </w:r>
    </w:p>
    <w:p>
      <w:pPr>
        <w:pStyle w:val="3"/>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2019年度收、支总计123万元。与2018年相比，收、支总计各减少2.6</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万元，下降2.1</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。主要变动原因是项目减少。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137795</wp:posOffset>
            </wp:positionH>
            <wp:positionV relativeFrom="paragraph">
              <wp:posOffset>77470</wp:posOffset>
            </wp:positionV>
            <wp:extent cx="4664075" cy="3055620"/>
            <wp:effectExtent l="4445" t="4445" r="17780" b="698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3"/>
        <w:numPr>
          <w:ilvl w:val="0"/>
          <w:numId w:val="0"/>
        </w:numPr>
        <w:spacing w:line="600" w:lineRule="exact"/>
        <w:ind w:firstLine="640" w:firstLineChars="20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9年本年收入合计108.09万元，其中：一般公共预算财政拨款收入108.09万元，占100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；政府性基金预算财政拨款收入无；</w:t>
      </w:r>
      <w:r>
        <w:rPr>
          <w:rFonts w:hint="eastAsia" w:ascii="仿宋" w:hAnsi="仿宋" w:eastAsia="仿宋"/>
          <w:color w:val="000000" w:themeColor="text1"/>
          <w:sz w:val="32"/>
          <w:szCs w:val="32"/>
          <w14:textFill>
            <w14:solidFill>
              <w14:schemeClr w14:val="tx1"/>
            </w14:solidFill>
          </w14:textFill>
        </w:rPr>
        <w:t>上级补助收入无</w:t>
      </w:r>
      <w:r>
        <w:rPr>
          <w:rFonts w:hint="eastAsia" w:ascii="仿宋" w:hAnsi="仿宋" w:eastAsia="仿宋"/>
          <w:color w:val="000000"/>
          <w:sz w:val="32"/>
          <w:szCs w:val="32"/>
        </w:rPr>
        <w:t>；事业收入无；经营收入无；附属单位上缴收入无；其他收入无。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FF0000"/>
          <w:sz w:val="32"/>
          <w:szCs w:val="32"/>
        </w:rPr>
        <w:drawing>
          <wp:anchor distT="0" distB="0" distL="0" distR="0" simplePos="0" relativeHeight="251660288" behindDoc="0" locked="0" layoutInCell="1" allowOverlap="1">
            <wp:simplePos x="0" y="0"/>
            <wp:positionH relativeFrom="column">
              <wp:posOffset>80645</wp:posOffset>
            </wp:positionH>
            <wp:positionV relativeFrom="paragraph">
              <wp:posOffset>185420</wp:posOffset>
            </wp:positionV>
            <wp:extent cx="4142740" cy="1986280"/>
            <wp:effectExtent l="4445" t="4445" r="5715" b="952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0"/>
        </w:numPr>
        <w:spacing w:line="600" w:lineRule="exact"/>
        <w:ind w:left="640" w:left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万元，其中：基本支出93.</w:t>
      </w:r>
      <w:r>
        <w:rPr>
          <w:rFonts w:hint="eastAsia" w:ascii="仿宋" w:hAnsi="仿宋" w:eastAsia="仿宋"/>
          <w:color w:val="000000"/>
          <w:sz w:val="32"/>
          <w:szCs w:val="32"/>
          <w:lang w:val="en-US" w:eastAsia="zh-CN"/>
        </w:rPr>
        <w:t>09</w:t>
      </w:r>
      <w:r>
        <w:rPr>
          <w:rFonts w:hint="eastAsia" w:ascii="仿宋" w:hAnsi="仿宋" w:eastAsia="仿宋"/>
          <w:color w:val="000000"/>
          <w:sz w:val="32"/>
          <w:szCs w:val="32"/>
        </w:rPr>
        <w:t>万元，占75.68</w:t>
      </w:r>
      <w:r>
        <w:rPr>
          <w:rFonts w:ascii="仿宋" w:hAnsi="仿宋" w:eastAsia="仿宋"/>
          <w:color w:val="000000"/>
          <w:sz w:val="32"/>
          <w:szCs w:val="32"/>
        </w:rPr>
        <w:t>%</w:t>
      </w:r>
      <w:r>
        <w:rPr>
          <w:rFonts w:hint="eastAsia" w:ascii="仿宋" w:hAnsi="仿宋" w:eastAsia="仿宋"/>
          <w:color w:val="000000"/>
          <w:sz w:val="32"/>
          <w:szCs w:val="32"/>
        </w:rPr>
        <w:t>；项目支出29.91万元，占24.32</w:t>
      </w:r>
      <w:r>
        <w:rPr>
          <w:rFonts w:ascii="仿宋" w:hAnsi="仿宋" w:eastAsia="仿宋"/>
          <w:color w:val="000000"/>
          <w:sz w:val="32"/>
          <w:szCs w:val="32"/>
        </w:rPr>
        <w:t>%</w:t>
      </w:r>
      <w:r>
        <w:rPr>
          <w:rFonts w:hint="eastAsia" w:ascii="仿宋" w:hAnsi="仿宋" w:eastAsia="仿宋"/>
          <w:color w:val="000000"/>
          <w:sz w:val="32"/>
          <w:szCs w:val="32"/>
        </w:rPr>
        <w:t>；上缴上级支出无；经营支出无；对附属单位补助支出无。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drawing>
          <wp:anchor distT="0" distB="0" distL="0" distR="0" simplePos="0" relativeHeight="251661312" behindDoc="0" locked="0" layoutInCell="1" allowOverlap="1">
            <wp:simplePos x="0" y="0"/>
            <wp:positionH relativeFrom="column">
              <wp:posOffset>118745</wp:posOffset>
            </wp:positionH>
            <wp:positionV relativeFrom="paragraph">
              <wp:posOffset>152400</wp:posOffset>
            </wp:positionV>
            <wp:extent cx="4228465" cy="2140585"/>
            <wp:effectExtent l="4445" t="4445" r="15240" b="762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30" w:name="_Toc15396606"/>
      <w:bookmarkStart w:id="31" w:name="_Toc15377208"/>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9年财政拨款收、支总计123万元。与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8年相比，财政拨款收、支总计各减少2.6</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万元，下降2.1</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。主要变动原因是项目减少。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271145</wp:posOffset>
            </wp:positionH>
            <wp:positionV relativeFrom="paragraph">
              <wp:posOffset>309245</wp:posOffset>
            </wp:positionV>
            <wp:extent cx="4616450" cy="2475230"/>
            <wp:effectExtent l="4445" t="4445" r="8255" b="1587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Fonts w:ascii="黑体" w:hAnsi="黑体" w:eastAsia="黑体"/>
          <w:color w:val="000000"/>
          <w:sz w:val="32"/>
          <w:szCs w:val="32"/>
        </w:rPr>
      </w:pPr>
      <w:bookmarkStart w:id="32" w:name="_Toc15396607"/>
      <w:bookmarkStart w:id="33" w:name="_Toc15377209"/>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9年一般公共预算财政拨款支出123万元，占本年支出合计的100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8年相比，一般公共预算财政拨款增加12.2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万元，增长11.0</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。主要变动原因是活动开展多。</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margin">
              <wp:posOffset>175895</wp:posOffset>
            </wp:positionH>
            <wp:positionV relativeFrom="paragraph">
              <wp:posOffset>204470</wp:posOffset>
            </wp:positionV>
            <wp:extent cx="5000625" cy="2567940"/>
            <wp:effectExtent l="4445" t="4445" r="5080" b="184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政拨款支出123万元，主要用于以下方面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文化旅游体育与传媒（类）支出101.88万元，占82.8</w:t>
      </w:r>
      <w:r>
        <w:rPr>
          <w:rFonts w:hint="eastAsia" w:ascii="仿宋" w:hAnsi="仿宋" w:eastAsia="仿宋"/>
          <w:b/>
          <w:bCs/>
          <w:color w:val="000000" w:themeColor="text1"/>
          <w:sz w:val="32"/>
          <w:szCs w:val="32"/>
          <w:lang w:val="en-US" w:eastAsia="zh-CN"/>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支出10.64万元，占8.65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卫生健康支出3.87</w:t>
      </w:r>
      <w:r>
        <w:rPr>
          <w:rFonts w:hint="eastAsia" w:ascii="仿宋" w:hAnsi="仿宋" w:eastAsia="仿宋"/>
          <w:color w:val="000000" w:themeColor="text1"/>
          <w:sz w:val="32"/>
          <w:szCs w:val="32"/>
          <w14:textFill>
            <w14:solidFill>
              <w14:schemeClr w14:val="tx1"/>
            </w14:solidFill>
          </w14:textFill>
        </w:rPr>
        <w:t>万元，占3.15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；住房保障支出6.6</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万元，占5.3</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211455</wp:posOffset>
            </wp:positionH>
            <wp:positionV relativeFrom="paragraph">
              <wp:posOffset>104140</wp:posOffset>
            </wp:positionV>
            <wp:extent cx="4909820" cy="2727960"/>
            <wp:effectExtent l="4445" t="4445" r="19685" b="1079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般公共预算支出决算数为123</w:t>
      </w:r>
      <w:r>
        <w:rPr>
          <w:rFonts w:hint="eastAsia" w:ascii="仿宋" w:hAnsi="仿宋" w:eastAsia="仿宋"/>
          <w:b/>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文化旅游体育与传媒支出（类）文化和旅游（款）图书馆（项）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支出决算为101.88万元，完成预算100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w:t>
      </w:r>
      <w:r>
        <w:rPr>
          <w:rStyle w:val="14"/>
          <w:rFonts w:ascii="仿宋" w:hAnsi="仿宋" w:eastAsia="仿宋"/>
          <w:bCs/>
          <w:color w:val="000000"/>
          <w:sz w:val="32"/>
          <w:szCs w:val="32"/>
        </w:rPr>
        <w:t>行政事业单位离退休（款）机关事业单位基本养老保险缴费支出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支出决算为10.64万元，完成预算100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w:t>
      </w:r>
      <w:r>
        <w:rPr>
          <w:rStyle w:val="14"/>
          <w:rFonts w:ascii="仿宋" w:hAnsi="仿宋" w:eastAsia="仿宋"/>
          <w:bCs/>
          <w:color w:val="000000"/>
          <w:sz w:val="32"/>
          <w:szCs w:val="32"/>
        </w:rPr>
        <w:t>行政事业单位医疗（款）事业单位医疗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支出决算为3.87万元，完成预算100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422" w:firstLineChars="200"/>
        <w:rPr>
          <w:rFonts w:ascii="仿宋" w:hAnsi="仿宋" w:eastAsia="仿宋"/>
          <w:color w:val="000000"/>
          <w:sz w:val="32"/>
          <w:szCs w:val="32"/>
        </w:rPr>
      </w:pPr>
      <w:r>
        <w:rPr>
          <w:rStyle w:val="14"/>
          <w:rFonts w:hint="eastAsia"/>
          <w:bCs/>
        </w:rPr>
        <w:t>4.</w:t>
      </w:r>
      <w:r>
        <w:rPr>
          <w:rStyle w:val="14"/>
          <w:rFonts w:ascii="仿宋" w:hAnsi="仿宋" w:eastAsia="仿宋"/>
          <w:bCs/>
          <w:color w:val="000000"/>
          <w:sz w:val="32"/>
          <w:szCs w:val="32"/>
        </w:rPr>
        <w:t xml:space="preserve"> 住房保障</w:t>
      </w:r>
      <w:r>
        <w:rPr>
          <w:rStyle w:val="14"/>
          <w:rFonts w:hint="eastAsia" w:ascii="仿宋" w:hAnsi="仿宋" w:eastAsia="仿宋"/>
          <w:bCs/>
          <w:color w:val="000000"/>
          <w:sz w:val="32"/>
          <w:szCs w:val="32"/>
        </w:rPr>
        <w:t>支出</w:t>
      </w:r>
      <w:r>
        <w:rPr>
          <w:rStyle w:val="14"/>
          <w:rFonts w:ascii="仿宋" w:hAnsi="仿宋" w:eastAsia="仿宋"/>
          <w:bCs/>
          <w:color w:val="000000"/>
          <w:sz w:val="32"/>
          <w:szCs w:val="32"/>
        </w:rPr>
        <w:t>（类）住房改革支出（款）住房公积金（项）：</w:t>
      </w:r>
      <w:r>
        <w:rPr>
          <w:rStyle w:val="14"/>
          <w:rFonts w:ascii="仿宋" w:hAnsi="仿宋" w:eastAsia="仿宋"/>
          <w:b w:val="0"/>
          <w:bCs/>
          <w:color w:val="000000"/>
          <w:sz w:val="32"/>
          <w:szCs w:val="32"/>
        </w:rPr>
        <w:t>支出决算为6.</w:t>
      </w:r>
      <w:r>
        <w:rPr>
          <w:rStyle w:val="14"/>
          <w:rFonts w:hint="eastAsia" w:ascii="仿宋" w:hAnsi="仿宋" w:eastAsia="仿宋"/>
          <w:b w:val="0"/>
          <w:bCs/>
          <w:color w:val="000000"/>
          <w:sz w:val="32"/>
          <w:szCs w:val="32"/>
        </w:rPr>
        <w:t>6</w:t>
      </w:r>
      <w:r>
        <w:rPr>
          <w:rStyle w:val="14"/>
          <w:rFonts w:hint="eastAsia" w:ascii="仿宋" w:hAnsi="仿宋" w:eastAsia="仿宋"/>
          <w:b w:val="0"/>
          <w:bCs/>
          <w:color w:val="000000"/>
          <w:sz w:val="32"/>
          <w:szCs w:val="32"/>
          <w:lang w:val="en-US" w:eastAsia="zh-CN"/>
        </w:rPr>
        <w:t>1</w:t>
      </w:r>
      <w:r>
        <w:rPr>
          <w:rStyle w:val="14"/>
          <w:rFonts w:ascii="仿宋" w:hAnsi="仿宋" w:eastAsia="仿宋"/>
          <w:b w:val="0"/>
          <w:bCs/>
          <w:color w:val="000000"/>
          <w:sz w:val="32"/>
          <w:szCs w:val="32"/>
        </w:rPr>
        <w:t>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9年一般公共预算财政拨款基本支出93.09万元，其中：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人员经费87.59万元，主要包括：基本工资、津贴补贴、奖金、伙食补助费、绩效工资、机关事业单位基本养老保险缴费、职</w:t>
      </w:r>
      <w:r>
        <w:rPr>
          <w:rFonts w:hint="eastAsia" w:ascii="仿宋" w:hAnsi="仿宋" w:eastAsia="仿宋"/>
          <w:color w:val="000000"/>
          <w:sz w:val="32"/>
          <w:szCs w:val="32"/>
          <w:lang w:val="en-US" w:eastAsia="zh-CN"/>
        </w:rPr>
        <w:t>工基本医疗保险缴费</w:t>
      </w:r>
      <w:r>
        <w:rPr>
          <w:rFonts w:hint="eastAsia" w:ascii="仿宋" w:hAnsi="仿宋" w:eastAsia="仿宋"/>
          <w:color w:val="000000"/>
          <w:sz w:val="32"/>
          <w:szCs w:val="32"/>
        </w:rPr>
        <w:t>、其他社会保障缴费、其他工资福利支出、离休费、退休费、抚恤金、生活补助、医疗费补助、奖励金、住房公积金、其他对个人和家庭的补助支出等。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日常公用经费5.5万元，主要包括：办公费、印刷费、咨询费、手续费、水费、电费、邮电费、取暖费、物业管理费、差旅费、因公出国（境）费用、维修（护）费、租赁费、会议费、培训费、公务接待费、</w:t>
      </w:r>
      <w:r>
        <w:rPr>
          <w:rFonts w:hint="eastAsia" w:ascii="仿宋" w:hAnsi="仿宋" w:eastAsia="仿宋"/>
          <w:color w:val="000000"/>
          <w:sz w:val="32"/>
          <w:szCs w:val="32"/>
          <w:lang w:val="en-US" w:eastAsia="zh-CN"/>
        </w:rPr>
        <w:t>专用材料费、</w:t>
      </w:r>
      <w:r>
        <w:rPr>
          <w:rFonts w:hint="eastAsia" w:ascii="仿宋" w:hAnsi="仿宋" w:eastAsia="仿宋"/>
          <w:color w:val="000000"/>
          <w:sz w:val="32"/>
          <w:szCs w:val="32"/>
        </w:rPr>
        <w:t>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9年“三公”经费财政拨款支出决算为0.1万元，完成预算100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，决算数与预算数持平的主要原因是严格</w:t>
      </w:r>
      <w:r>
        <w:rPr>
          <w:rFonts w:hint="eastAsia" w:ascii="仿宋_GB2312" w:eastAsia="仿宋_GB2312"/>
          <w:color w:val="000000"/>
          <w:sz w:val="32"/>
          <w:szCs w:val="32"/>
        </w:rPr>
        <w:t>贯彻执行中央八项规定</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p>
    <w:p>
      <w:pPr>
        <w:pStyle w:val="2"/>
      </w:pPr>
      <w:r>
        <w:rPr>
          <w:rFonts w:hint="eastAsia" w:ascii="仿宋_GB2312" w:eastAsia="仿宋_GB2312"/>
          <w:color w:val="FF0000"/>
          <w:sz w:val="32"/>
          <w:szCs w:val="32"/>
        </w:rPr>
        <w:drawing>
          <wp:anchor distT="0" distB="0" distL="0" distR="0" simplePos="0" relativeHeight="251665408" behindDoc="0" locked="0" layoutInCell="1" allowOverlap="1">
            <wp:simplePos x="0" y="0"/>
            <wp:positionH relativeFrom="column">
              <wp:posOffset>461645</wp:posOffset>
            </wp:positionH>
            <wp:positionV relativeFrom="paragraph">
              <wp:posOffset>179070</wp:posOffset>
            </wp:positionV>
            <wp:extent cx="4142740" cy="1986280"/>
            <wp:effectExtent l="4445" t="4445" r="5715" b="95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color w:val="000000"/>
          <w:sz w:val="32"/>
          <w:szCs w:val="32"/>
        </w:rPr>
      </w:pPr>
    </w:p>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1.因公出国（境）经费支出0</w:t>
      </w:r>
      <w:r>
        <w:rPr>
          <w:rFonts w:hint="eastAsia" w:ascii="仿宋_GB2312" w:eastAsia="仿宋_GB2312"/>
          <w:color w:val="000000"/>
          <w:sz w:val="32"/>
          <w:szCs w:val="32"/>
        </w:rPr>
        <w:t>万元。全年安排因公出国（境）团组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公务用车购置及运行维护费支出0</w:t>
      </w:r>
      <w:r>
        <w:rPr>
          <w:rFonts w:hint="eastAsia" w:ascii="仿宋_GB2312" w:eastAsia="仿宋_GB2312"/>
          <w:color w:val="000000"/>
          <w:sz w:val="32"/>
          <w:szCs w:val="32"/>
        </w:rPr>
        <w:t>万元。</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公务接待费支出0.1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8年持平。主要原因是</w:t>
      </w:r>
      <w:r>
        <w:rPr>
          <w:rFonts w:hint="eastAsia" w:ascii="仿宋" w:hAnsi="仿宋" w:eastAsia="仿宋"/>
          <w:color w:val="000000"/>
          <w:sz w:val="32"/>
          <w:szCs w:val="32"/>
        </w:rPr>
        <w:t>是严格</w:t>
      </w:r>
      <w:r>
        <w:rPr>
          <w:rFonts w:hint="eastAsia" w:ascii="仿宋_GB2312" w:eastAsia="仿宋_GB2312"/>
          <w:color w:val="000000"/>
          <w:sz w:val="32"/>
          <w:szCs w:val="32"/>
        </w:rPr>
        <w:t>贯彻执行中央八项规定</w:t>
      </w:r>
      <w:r>
        <w:rPr>
          <w:rFonts w:hint="eastAsia" w:ascii="仿宋" w:hAnsi="仿宋" w:eastAsia="仿宋"/>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国内公务接待支出0.1万元，主要用于执行公务、开展业务活动开支的用餐费。国内公务接待2批次，24人次（不包括陪同人员），共计支出0.1万元，具体内容包括：接待万源市图书馆馆来馆学习交流500元及接待渠县图书馆来馆学习交流500元。</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 w:hAnsi="仿宋" w:eastAsia="仿宋"/>
          <w:b w:val="0"/>
          <w:bCs/>
          <w:color w:val="000000"/>
          <w:sz w:val="32"/>
          <w:szCs w:val="32"/>
        </w:rPr>
        <w:t>外事接待支出</w:t>
      </w:r>
      <w:r>
        <w:rPr>
          <w:rFonts w:hint="eastAsia" w:ascii="仿宋" w:hAnsi="仿宋" w:eastAsia="仿宋"/>
          <w:b w:val="0"/>
          <w:bCs/>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640" w:firstLineChars="20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val="en-US" w:eastAsia="zh-CN"/>
        </w:rPr>
      </w:pPr>
      <w:bookmarkStart w:id="53" w:name="_Toc15377223"/>
      <w:r>
        <w:rPr>
          <w:rFonts w:hint="eastAsia" w:ascii="仿宋_GB2312" w:eastAsia="仿宋_GB2312"/>
          <w:color w:val="000000"/>
          <w:sz w:val="32"/>
          <w:szCs w:val="32"/>
          <w:lang w:val="en-US" w:eastAsia="zh-CN"/>
        </w:rPr>
        <w:t>2019年，</w:t>
      </w:r>
      <w:r>
        <w:rPr>
          <w:rFonts w:ascii="仿宋_GB2312" w:eastAsia="仿宋_GB2312"/>
          <w:color w:val="000000"/>
          <w:sz w:val="32"/>
          <w:szCs w:val="32"/>
        </w:rPr>
        <w:t>开江县图书馆</w:t>
      </w:r>
      <w:r>
        <w:rPr>
          <w:rFonts w:hint="eastAsia" w:ascii="仿宋_GB2312" w:eastAsia="仿宋_GB2312"/>
          <w:color w:val="000000"/>
          <w:sz w:val="32"/>
          <w:szCs w:val="32"/>
          <w:lang w:val="en-US" w:eastAsia="zh-CN"/>
        </w:rPr>
        <w:t>机关运行经费支出0万元，与2018</w:t>
      </w:r>
      <w:bookmarkStart w:id="73" w:name="_GoBack"/>
      <w:bookmarkEnd w:id="73"/>
      <w:r>
        <w:rPr>
          <w:rFonts w:hint="eastAsia" w:ascii="仿宋_GB2312" w:eastAsia="仿宋_GB2312"/>
          <w:color w:val="000000"/>
          <w:sz w:val="32"/>
          <w:szCs w:val="32"/>
          <w:lang w:val="en-US" w:eastAsia="zh-CN"/>
        </w:rPr>
        <w:t>年持平。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bookmarkStart w:id="54" w:name="_Toc15377224"/>
      <w:r>
        <w:rPr>
          <w:rFonts w:ascii="仿宋_GB2312" w:eastAsia="仿宋_GB2312"/>
          <w:color w:val="000000"/>
          <w:sz w:val="32"/>
          <w:szCs w:val="32"/>
        </w:rPr>
        <w:t>201</w:t>
      </w:r>
      <w:r>
        <w:rPr>
          <w:rFonts w:hint="eastAsia" w:ascii="仿宋_GB2312" w:eastAsia="仿宋_GB2312"/>
          <w:color w:val="000000"/>
          <w:sz w:val="32"/>
          <w:szCs w:val="32"/>
        </w:rPr>
        <w:t>9年，图书馆政府采购支出总额</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购买四台电子阅读器</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日，图书馆共有车辆0辆，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val="en-US" w:eastAsia="zh-CN"/>
        </w:rPr>
        <w:t>文化惠民服务项目</w:t>
      </w:r>
      <w:r>
        <w:rPr>
          <w:rFonts w:hint="eastAsia" w:ascii="仿宋_GB2312" w:hAnsi="仿宋_GB2312" w:eastAsia="仿宋_GB2312" w:cs="仿宋_GB2312"/>
          <w:sz w:val="32"/>
          <w:szCs w:val="32"/>
        </w:rPr>
        <w:t>开展了预算事前绩效评估，编制了绩效目标，预算执行过程中，开展绩效监控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年终执行完毕后，对</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项目开展了绩效目标完成情况</w:t>
      </w:r>
      <w:r>
        <w:rPr>
          <w:rFonts w:hint="eastAsia"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 w:hAnsi="仿宋" w:eastAsia="仿宋" w:cs="仿宋"/>
          <w:sz w:val="32"/>
          <w:szCs w:val="32"/>
        </w:rPr>
        <w:t>2019年我馆保障了职工的工资福利、遗属的生活补助、按时足额发放；确保单位正常运转、确保每天按时免费开放、服务群众超过十万人次，推动全民阅读、提升了全县文化质量，促进社会和谐，圆满完成了全年目标任务。</w:t>
      </w:r>
    </w:p>
    <w:p>
      <w:pPr>
        <w:numPr>
          <w:ilvl w:val="0"/>
          <w:numId w:val="3"/>
        </w:numPr>
        <w:spacing w:line="580" w:lineRule="exact"/>
        <w:ind w:left="630"/>
        <w:rPr>
          <w:rFonts w:hint="eastAsia" w:ascii="仿宋" w:hAnsi="仿宋" w:eastAsia="仿宋" w:cs="仿宋"/>
          <w:sz w:val="32"/>
          <w:szCs w:val="32"/>
        </w:rPr>
      </w:pPr>
      <w:r>
        <w:rPr>
          <w:rFonts w:hint="eastAsia" w:ascii="仿宋" w:hAnsi="仿宋" w:eastAsia="仿宋" w:cs="仿宋"/>
          <w:sz w:val="32"/>
          <w:szCs w:val="32"/>
        </w:rPr>
        <w:t>项目绩效目标完成情况。</w:t>
      </w:r>
    </w:p>
    <w:p>
      <w:pPr>
        <w:spacing w:line="5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在2019年度部门决算中反映文化惠民项目绩效目标实际完成情况综述。项目全年预算数15万元，执行数15万元，完成预算的100%。开展了各类的读者活动，如：农村留守儿童阅读辅导系列、公益大课堂、“万人赏月诵中秋”、流动图书车进乡镇等，通过项目实施，提升了全县文化质量，促进社会和谐。发现的主要问题：惠民活动质量有待进一步提高。下一步改进措施：对惠民活动方案做得更细、更完善。</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文化惠民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开江县图书馆</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购买图书不少于</w:t>
            </w:r>
            <w:r>
              <w:rPr>
                <w:rFonts w:hint="eastAsia" w:ascii="宋体" w:hAnsi="宋体" w:cs="宋体"/>
                <w:color w:val="000000"/>
                <w:sz w:val="24"/>
                <w:lang w:val="en-US" w:eastAsia="zh-CN"/>
              </w:rPr>
              <w:t>800</w:t>
            </w:r>
            <w:r>
              <w:rPr>
                <w:rFonts w:hint="eastAsia" w:ascii="宋体" w:hAnsi="宋体" w:cs="宋体"/>
                <w:color w:val="000000"/>
                <w:sz w:val="24"/>
              </w:rPr>
              <w:t>册及</w:t>
            </w:r>
            <w:r>
              <w:rPr>
                <w:rFonts w:hint="eastAsia" w:ascii="宋体" w:hAnsi="宋体" w:cs="宋体"/>
                <w:color w:val="000000"/>
                <w:sz w:val="24"/>
                <w:lang w:val="en-US" w:eastAsia="zh-CN"/>
              </w:rPr>
              <w:t>举办文化惠民活动不少于40场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新增图书</w:t>
            </w:r>
            <w:r>
              <w:rPr>
                <w:rFonts w:hint="eastAsia" w:ascii="宋体" w:hAnsi="宋体" w:cs="宋体"/>
                <w:color w:val="000000"/>
                <w:sz w:val="24"/>
                <w:lang w:val="en-US" w:eastAsia="zh-CN"/>
              </w:rPr>
              <w:t>863册、举办文化惠民活动60场</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为广大市民</w:t>
            </w:r>
            <w:r>
              <w:rPr>
                <w:rFonts w:hint="eastAsia" w:ascii="宋体" w:hAnsi="宋体" w:cs="宋体"/>
                <w:color w:val="000000"/>
                <w:sz w:val="24"/>
                <w:lang w:val="en-US" w:eastAsia="zh-CN"/>
              </w:rPr>
              <w:t>举办文化惠民活动</w:t>
            </w:r>
            <w:r>
              <w:rPr>
                <w:rFonts w:hint="eastAsia" w:ascii="宋体" w:hAnsi="宋体" w:cs="宋体"/>
                <w:color w:val="000000"/>
                <w:sz w:val="24"/>
              </w:rPr>
              <w:t>预计</w:t>
            </w:r>
            <w:r>
              <w:rPr>
                <w:rFonts w:hint="eastAsia" w:ascii="宋体" w:hAnsi="宋体" w:cs="宋体"/>
                <w:color w:val="000000"/>
                <w:sz w:val="24"/>
                <w:lang w:val="en-US" w:eastAsia="zh-CN"/>
              </w:rPr>
              <w:t>场</w:t>
            </w:r>
            <w:r>
              <w:rPr>
                <w:rFonts w:hint="eastAsia" w:ascii="宋体" w:hAnsi="宋体" w:cs="宋体"/>
                <w:color w:val="000000"/>
                <w:sz w:val="24"/>
              </w:rPr>
              <w:t>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举办文化活动场次不少于40场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举办文化惠民活动60场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逐步增加图书数量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安排购买图书不少于</w:t>
            </w:r>
            <w:r>
              <w:rPr>
                <w:rFonts w:hint="eastAsia" w:ascii="宋体" w:hAnsi="宋体" w:cs="宋体"/>
                <w:color w:val="000000"/>
                <w:sz w:val="24"/>
                <w:lang w:val="en-US" w:eastAsia="zh-CN"/>
              </w:rPr>
              <w:t>800</w:t>
            </w:r>
            <w:r>
              <w:rPr>
                <w:rFonts w:hint="eastAsia" w:ascii="宋体" w:hAnsi="宋体" w:cs="宋体"/>
                <w:color w:val="000000"/>
                <w:sz w:val="24"/>
              </w:rPr>
              <w:t>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安排购买图</w:t>
            </w:r>
            <w:r>
              <w:rPr>
                <w:rFonts w:hint="eastAsia" w:ascii="宋体" w:hAnsi="宋体" w:cs="宋体"/>
                <w:color w:val="000000"/>
                <w:sz w:val="24"/>
                <w:lang w:eastAsia="zh-CN"/>
              </w:rPr>
              <w:t>书</w:t>
            </w:r>
            <w:r>
              <w:rPr>
                <w:rFonts w:hint="eastAsia" w:ascii="宋体" w:hAnsi="宋体" w:cs="宋体"/>
                <w:color w:val="000000"/>
                <w:sz w:val="24"/>
                <w:lang w:val="en-US" w:eastAsia="zh-CN"/>
              </w:rPr>
              <w:t>863</w:t>
            </w:r>
            <w:r>
              <w:rPr>
                <w:rFonts w:hint="eastAsia" w:ascii="宋体" w:hAnsi="宋体" w:cs="宋体"/>
                <w:color w:val="000000"/>
                <w:sz w:val="24"/>
              </w:rPr>
              <w:t>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文化惠民活动氛围浓郁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满足群众的文化需求，丰富群众业余文化生活，</w:t>
            </w:r>
            <w:r>
              <w:rPr>
                <w:rFonts w:hint="eastAsia" w:ascii="宋体" w:hAnsi="宋体" w:cs="宋体"/>
                <w:color w:val="000000"/>
                <w:sz w:val="24"/>
              </w:rPr>
              <w:t>提升全县文化质量，促进社会和谐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通过项目实施，满足了群众的文化需求，丰富了群众业余文化生活，</w:t>
            </w:r>
            <w:r>
              <w:rPr>
                <w:rFonts w:hint="eastAsia" w:ascii="宋体" w:hAnsi="宋体" w:cs="宋体"/>
                <w:color w:val="000000"/>
                <w:sz w:val="24"/>
              </w:rPr>
              <w:t>提升全县文化质量，促进社会和谐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r>
              <w:rPr>
                <w:rFonts w:hint="eastAsia" w:ascii="宋体" w:hAnsi="宋体" w:cs="宋体"/>
                <w:color w:val="000000"/>
                <w:sz w:val="24"/>
                <w:lang w:eastAsia="zh-CN"/>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受益</w:t>
            </w: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r>
    </w:tbl>
    <w:p>
      <w:pPr>
        <w:rPr>
          <w:rFonts w:ascii="Calibri" w:hAnsi="Calibri"/>
        </w:rPr>
      </w:pPr>
    </w:p>
    <w:p>
      <w:pPr>
        <w:pStyle w:val="2"/>
        <w:ind w:firstLine="640"/>
        <w:rPr>
          <w:rFonts w:hint="eastAsia"/>
          <w:lang w:val="en-US" w:eastAsia="zh-CN"/>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仿宋" w:hAnsi="仿宋" w:eastAsia="仿宋" w:cs="仿宋"/>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本部门按要求对2019年部门整体支出绩效评价情况开展自评，《开江县图书馆2019年部门整体支出绩效评价报告》见附件（附件1）。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教育（类）进修及培训（款）培训支出（项）：指反映各部门安排的用于培训的支出。教育部门的师资培训、党校、行政学院等专业干部教育机构的支出，以及退役士兵、转业士官的培训支出，不在本科目反映。</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10.文化旅游体育与传媒支出（类）文化和旅游（款）图书馆（项）：指反映图书馆的支出。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11.文化旅游体育与传媒支出（类）其他文化体育与传媒支出：反映上述项目以外其他用于文化体育与传媒方面的支出。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12.社会保障和就业支出（类）行政事业单位离退休（款）机关事业单位基本养老保险缴费支出（项）：指反映机关事业单位实施养老保险制度由单位缴纳的基本养老保险支出。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卫生健康支出（类）行政事业单位医疗（款）事业单位医疗（项）：指反映财政部门集中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14.住房保障支出（类）住房改革支出（款）住房公积金（项）：指反映行政事业单位按人力资源和社会保障部、财政部规定的基本工资和津巾以及规定比例为职工缴纳的住房公积金。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560" w:lineRule="exact"/>
        <w:ind w:firstLine="720" w:firstLineChars="20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开江县图书馆</w:t>
      </w:r>
    </w:p>
    <w:p>
      <w:pPr>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2019年度部门整体支出绩效自评报告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（一）机构组成</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"http://www.kaijiang.gov.cn/child/wgxj/javascript:void(0);" </w:instrText>
      </w:r>
      <w:r>
        <w:rPr>
          <w:rFonts w:hint="eastAsia" w:ascii="仿宋" w:hAnsi="仿宋" w:eastAsia="仿宋" w:cs="仿宋"/>
          <w:sz w:val="32"/>
          <w:szCs w:val="32"/>
        </w:rPr>
        <w:fldChar w:fldCharType="separate"/>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开江县图书馆，是县文化体育和旅游局的下属单位。内设办公室、外借室、少儿阅览室、资料室、习新书院、采编室。</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（二）机构职能</w:t>
      </w:r>
    </w:p>
    <w:p>
      <w:pPr>
        <w:pStyle w:val="6"/>
        <w:adjustRightInd w:val="0"/>
        <w:snapToGrid w:val="0"/>
        <w:spacing w:before="93" w:line="600" w:lineRule="exact"/>
        <w:ind w:firstLine="640" w:firstLineChars="200"/>
        <w:jc w:val="left"/>
        <w:rPr>
          <w:rFonts w:ascii="仿宋" w:hAnsi="仿宋" w:eastAsia="仿宋" w:cs="仿宋"/>
          <w:color w:val="000000"/>
          <w:kern w:val="2"/>
          <w:sz w:val="32"/>
          <w:szCs w:val="32"/>
        </w:rPr>
      </w:pPr>
      <w:r>
        <w:rPr>
          <w:rFonts w:hint="eastAsia" w:ascii="仿宋" w:hAnsi="仿宋" w:eastAsia="仿宋" w:cs="仿宋"/>
          <w:color w:val="000000"/>
          <w:kern w:val="2"/>
          <w:sz w:val="32"/>
          <w:szCs w:val="32"/>
        </w:rPr>
        <w:t>开江县图书馆是国家三级图书馆，其主要职能是保存借阅图书资料，促进社会经济文化发展。</w:t>
      </w:r>
    </w:p>
    <w:p>
      <w:pPr>
        <w:spacing w:line="560" w:lineRule="exact"/>
        <w:ind w:left="638" w:leftChars="304"/>
        <w:jc w:val="left"/>
        <w:rPr>
          <w:rFonts w:ascii="楷体" w:hAnsi="楷体" w:eastAsia="楷体" w:cs="楷体"/>
          <w:sz w:val="32"/>
          <w:szCs w:val="32"/>
        </w:rPr>
      </w:pPr>
      <w:r>
        <w:rPr>
          <w:rFonts w:hint="eastAsia" w:ascii="楷体" w:hAnsi="楷体" w:eastAsia="楷体" w:cs="楷体"/>
          <w:sz w:val="32"/>
          <w:szCs w:val="32"/>
        </w:rPr>
        <w:t>（三）人员概况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2019年年末实有在职职工9人，退休人员7人 ，遗属1人。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二、部门财政资金收支出情况</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（一）部门财政资金收入情况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2019年本年收入为108.09万元，其中：一般公共预算财政拨款收入108.09万元。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（二）部门财政资金支出情况</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2019年支出为 123万元，</w:t>
      </w:r>
      <w:r>
        <w:rPr>
          <w:rFonts w:hint="eastAsia" w:ascii="仿宋" w:hAnsi="仿宋" w:eastAsia="仿宋" w:cs="仿宋"/>
          <w:sz w:val="32"/>
          <w:szCs w:val="32"/>
          <w:lang w:val="en-US" w:eastAsia="zh-CN"/>
        </w:rPr>
        <w:t>按功能科目分类：</w:t>
      </w:r>
      <w:r>
        <w:rPr>
          <w:rFonts w:hint="eastAsia" w:ascii="仿宋" w:hAnsi="仿宋" w:eastAsia="仿宋"/>
          <w:b w:val="0"/>
          <w:bCs w:val="0"/>
          <w:color w:val="000000" w:themeColor="text1"/>
          <w:sz w:val="32"/>
          <w:szCs w:val="32"/>
          <w14:textFill>
            <w14:solidFill>
              <w14:schemeClr w14:val="tx1"/>
            </w14:solidFill>
          </w14:textFill>
        </w:rPr>
        <w:t>文化旅游体育与传媒（类）支出101.88万元</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社会保障和就业（类）支出10.64万元，卫生健康支出3.87万元，住房保</w:t>
      </w:r>
      <w:r>
        <w:rPr>
          <w:rFonts w:hint="eastAsia" w:ascii="仿宋" w:hAnsi="仿宋" w:eastAsia="仿宋"/>
          <w:color w:val="000000" w:themeColor="text1"/>
          <w:sz w:val="32"/>
          <w:szCs w:val="32"/>
          <w14:textFill>
            <w14:solidFill>
              <w14:schemeClr w14:val="tx1"/>
            </w14:solidFill>
          </w14:textFill>
        </w:rPr>
        <w:t>障支出6.6</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s="仿宋"/>
          <w:sz w:val="32"/>
          <w:szCs w:val="32"/>
        </w:rPr>
        <w:t>按</w:t>
      </w:r>
      <w:r>
        <w:rPr>
          <w:rFonts w:hint="eastAsia" w:ascii="仿宋" w:hAnsi="仿宋" w:eastAsia="仿宋" w:cs="仿宋"/>
          <w:sz w:val="32"/>
          <w:szCs w:val="32"/>
          <w:lang w:val="en-US" w:eastAsia="zh-CN"/>
        </w:rPr>
        <w:t>资金性质</w:t>
      </w:r>
      <w:r>
        <w:rPr>
          <w:rFonts w:hint="eastAsia" w:ascii="仿宋" w:hAnsi="仿宋" w:eastAsia="仿宋" w:cs="仿宋"/>
          <w:sz w:val="32"/>
          <w:szCs w:val="32"/>
        </w:rPr>
        <w:t>分类：基本支出</w:t>
      </w:r>
      <w:r>
        <w:rPr>
          <w:rFonts w:hint="eastAsia" w:ascii="仿宋" w:hAnsi="仿宋" w:eastAsia="仿宋" w:cs="仿宋"/>
          <w:sz w:val="32"/>
          <w:szCs w:val="32"/>
          <w:lang w:val="en-US" w:eastAsia="zh-CN"/>
        </w:rPr>
        <w:t>93.09</w:t>
      </w:r>
      <w:r>
        <w:rPr>
          <w:rFonts w:hint="eastAsia" w:ascii="仿宋" w:hAnsi="仿宋" w:eastAsia="仿宋" w:cs="仿宋"/>
          <w:sz w:val="32"/>
          <w:szCs w:val="32"/>
        </w:rPr>
        <w:t>万元（人员经费87.59万元、日常公用经费5.5万元）；项目支出29.91万元。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黑体" w:eastAsia="黑体" w:cs="黑体"/>
          <w:sz w:val="32"/>
          <w:szCs w:val="32"/>
        </w:rPr>
        <w:t>三、</w:t>
      </w:r>
      <w:r>
        <w:rPr>
          <w:rFonts w:hint="eastAsia" w:ascii="黑体" w:hAnsi="宋体" w:eastAsia="黑体" w:cs="宋体"/>
          <w:color w:val="000000"/>
          <w:kern w:val="0"/>
          <w:sz w:val="32"/>
          <w:szCs w:val="32"/>
          <w:shd w:val="clear" w:color="auto" w:fill="FFFFFF"/>
        </w:rPr>
        <w:t>部门整体预算绩效管理情况</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（一）预算编制情况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1.严格执行《预算法》编制年初部门预算，根据县财政局的统一安排，结合本部门实际工作的情况，认真编制部门预算，经领导审核后，及时报送县财政局。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财政拨款支出主要用于保障单位正常运转及群众文化活动等工作的开展；基本支出，是用于保障单位正常运转的日常支出，包括基本工资、津贴补贴等人员经费以及办公费、培训费、差旅费等日常公用经费；项目支出，主要用于免费开放及惠民扶贫活动开展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（二）执行管理情况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1.预算执行进度情况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2019年预算108.09万元，2019年6月执行进度47%；全年支出执行进度100%，正常按执行管理情况执行。</w:t>
      </w:r>
    </w:p>
    <w:p>
      <w:pPr>
        <w:pStyle w:val="2"/>
        <w:ind w:firstLine="640" w:firstLineChars="200"/>
        <w:jc w:val="both"/>
        <w:rPr>
          <w:rFonts w:cs="仿宋"/>
          <w:sz w:val="32"/>
          <w:szCs w:val="32"/>
        </w:rPr>
      </w:pPr>
      <w:r>
        <w:rPr>
          <w:rFonts w:hint="eastAsia" w:cs="仿宋"/>
          <w:sz w:val="32"/>
          <w:szCs w:val="32"/>
        </w:rPr>
        <w:t>2.绩效监控情况</w:t>
      </w:r>
    </w:p>
    <w:p>
      <w:pPr>
        <w:rPr>
          <w:rFonts w:ascii="仿宋" w:hAnsi="仿宋" w:eastAsia="仿宋" w:cs="仿宋"/>
          <w:sz w:val="32"/>
          <w:szCs w:val="32"/>
        </w:rPr>
      </w:pPr>
      <w:r>
        <w:rPr>
          <w:rFonts w:hint="eastAsia" w:ascii="仿宋" w:hAnsi="仿宋" w:eastAsia="仿宋" w:cs="仿宋"/>
          <w:sz w:val="32"/>
          <w:szCs w:val="32"/>
        </w:rPr>
        <w:t xml:space="preserve">    县财政局在9月对我单位项目预算绩效监控分析，我馆1-8月在预算执行及项目实施进度达到了60%，能确保年度绩效目标全面完成。</w:t>
      </w:r>
    </w:p>
    <w:p>
      <w:pPr>
        <w:pStyle w:val="2"/>
        <w:ind w:firstLine="640" w:firstLineChars="200"/>
        <w:jc w:val="both"/>
        <w:rPr>
          <w:rFonts w:cs="仿宋"/>
          <w:sz w:val="32"/>
          <w:szCs w:val="32"/>
        </w:rPr>
      </w:pPr>
      <w:r>
        <w:rPr>
          <w:rFonts w:hint="eastAsia" w:cs="仿宋"/>
          <w:sz w:val="32"/>
          <w:szCs w:val="32"/>
        </w:rPr>
        <w:t>3.预决算差异情况</w:t>
      </w:r>
    </w:p>
    <w:p>
      <w:pPr>
        <w:ind w:firstLine="640" w:firstLineChars="200"/>
        <w:rPr>
          <w:rFonts w:ascii="仿宋" w:hAnsi="仿宋" w:eastAsia="仿宋" w:cs="仿宋"/>
          <w:sz w:val="32"/>
          <w:szCs w:val="32"/>
        </w:rPr>
      </w:pPr>
      <w:r>
        <w:rPr>
          <w:rFonts w:hint="eastAsia" w:ascii="仿宋" w:hAnsi="仿宋" w:eastAsia="仿宋" w:cs="仿宋"/>
          <w:sz w:val="32"/>
          <w:szCs w:val="32"/>
        </w:rPr>
        <w:t>因人员增加及工资普调、项目增加等情况导致年初预算跟决算有偏差</w:t>
      </w:r>
    </w:p>
    <w:p/>
    <w:tbl>
      <w:tblPr>
        <w:tblStyle w:val="12"/>
        <w:tblW w:w="0" w:type="auto"/>
        <w:tblInd w:w="0" w:type="dxa"/>
        <w:shd w:val="clear" w:color="auto" w:fill="FFFFFF"/>
        <w:tblLayout w:type="fixed"/>
        <w:tblCellMar>
          <w:top w:w="15" w:type="dxa"/>
          <w:left w:w="15" w:type="dxa"/>
          <w:bottom w:w="15" w:type="dxa"/>
          <w:right w:w="15" w:type="dxa"/>
        </w:tblCellMar>
      </w:tblPr>
      <w:tblGrid>
        <w:gridCol w:w="2482"/>
        <w:gridCol w:w="1023"/>
        <w:gridCol w:w="1460"/>
        <w:gridCol w:w="1416"/>
        <w:gridCol w:w="1935"/>
      </w:tblGrid>
      <w:tr>
        <w:tblPrEx>
          <w:shd w:val="clear" w:color="auto" w:fill="FFFFFF"/>
          <w:tblCellMar>
            <w:top w:w="15" w:type="dxa"/>
            <w:left w:w="15" w:type="dxa"/>
            <w:bottom w:w="15" w:type="dxa"/>
            <w:right w:w="15" w:type="dxa"/>
          </w:tblCellMar>
        </w:tblPrEx>
        <w:trPr>
          <w:trHeight w:val="624" w:hRule="atLeast"/>
        </w:trPr>
        <w:tc>
          <w:tcPr>
            <w:tcW w:w="24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指标</w:t>
            </w:r>
          </w:p>
        </w:tc>
        <w:tc>
          <w:tcPr>
            <w:tcW w:w="1023"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预算数</w:t>
            </w:r>
          </w:p>
        </w:tc>
        <w:tc>
          <w:tcPr>
            <w:tcW w:w="146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决算数</w:t>
            </w:r>
          </w:p>
        </w:tc>
        <w:tc>
          <w:tcPr>
            <w:tcW w:w="1416"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差异率％</w:t>
            </w:r>
          </w:p>
        </w:tc>
        <w:tc>
          <w:tcPr>
            <w:tcW w:w="1935" w:type="dxa"/>
            <w:vMerge w:val="restart"/>
            <w:tcBorders>
              <w:top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原因</w:t>
            </w:r>
          </w:p>
        </w:tc>
      </w:tr>
      <w:tr>
        <w:tblPrEx>
          <w:tblCellMar>
            <w:top w:w="15" w:type="dxa"/>
            <w:left w:w="15" w:type="dxa"/>
            <w:bottom w:w="15" w:type="dxa"/>
            <w:right w:w="15" w:type="dxa"/>
          </w:tblCellMar>
        </w:tblPrEx>
        <w:trPr>
          <w:trHeight w:val="624" w:hRule="atLeast"/>
        </w:trPr>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023"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46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416"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935" w:type="dxa"/>
            <w:vMerge w:val="continue"/>
            <w:tcBorders>
              <w:top w:val="single" w:color="000000" w:sz="4" w:space="0"/>
              <w:bottom w:val="single" w:color="000000" w:sz="4" w:space="0"/>
              <w:right w:val="single" w:color="000000" w:sz="12" w:space="0"/>
            </w:tcBorders>
            <w:shd w:val="clear" w:color="auto" w:fill="FFFFFF"/>
            <w:vAlign w:val="center"/>
          </w:tcPr>
          <w:p>
            <w:pPr>
              <w:jc w:val="center"/>
              <w:rPr>
                <w:rFonts w:ascii="仿宋" w:hAnsi="仿宋" w:eastAsia="仿宋" w:cs="仿宋"/>
                <w:color w:val="000000"/>
                <w:sz w:val="22"/>
                <w:szCs w:val="22"/>
              </w:rPr>
            </w:pPr>
          </w:p>
        </w:tc>
      </w:tr>
      <w:tr>
        <w:tblPrEx>
          <w:shd w:val="clear" w:color="auto" w:fill="FFFFFF"/>
          <w:tblCellMar>
            <w:top w:w="15" w:type="dxa"/>
            <w:left w:w="15" w:type="dxa"/>
            <w:bottom w:w="15" w:type="dxa"/>
            <w:right w:w="15" w:type="dxa"/>
          </w:tblCellMar>
        </w:tblPrEx>
        <w:trPr>
          <w:trHeight w:val="828"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1.本年收入</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85.81</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108.09</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25.97%</w:t>
            </w:r>
          </w:p>
        </w:tc>
        <w:tc>
          <w:tcPr>
            <w:tcW w:w="1935" w:type="dxa"/>
            <w:tcBorders>
              <w:bottom w:val="single" w:color="000000" w:sz="4" w:space="0"/>
              <w:right w:val="single" w:color="000000" w:sz="12"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人员工资普调、人员增加等。</w:t>
            </w:r>
          </w:p>
        </w:tc>
      </w:tr>
      <w:tr>
        <w:tblPrEx>
          <w:tblCellMar>
            <w:top w:w="15" w:type="dxa"/>
            <w:left w:w="15" w:type="dxa"/>
            <w:bottom w:w="15" w:type="dxa"/>
            <w:right w:w="15" w:type="dxa"/>
          </w:tblCellMar>
        </w:tblPrEx>
        <w:trPr>
          <w:trHeight w:val="753"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其中：一般公共预算财政拨款</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85.81</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108.09</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25.97%</w:t>
            </w:r>
          </w:p>
        </w:tc>
        <w:tc>
          <w:tcPr>
            <w:tcW w:w="1935" w:type="dxa"/>
            <w:tcBorders>
              <w:bottom w:val="single" w:color="000000" w:sz="4" w:space="0"/>
              <w:right w:val="single" w:color="000000" w:sz="12"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人员工资普调、人员增加等。</w:t>
            </w:r>
          </w:p>
        </w:tc>
      </w:tr>
      <w:tr>
        <w:tblPrEx>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政府性基金预算财政拨款</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w:t>
            </w:r>
          </w:p>
        </w:tc>
        <w:tc>
          <w:tcPr>
            <w:tcW w:w="1935" w:type="dxa"/>
            <w:tcBorders>
              <w:bottom w:val="single" w:color="000000" w:sz="4" w:space="0"/>
              <w:right w:val="single" w:color="000000" w:sz="12" w:space="0"/>
            </w:tcBorders>
            <w:shd w:val="clear" w:color="auto" w:fill="FFFFFF"/>
            <w:vAlign w:val="center"/>
          </w:tcPr>
          <w:p>
            <w:pPr>
              <w:widowControl/>
              <w:jc w:val="left"/>
              <w:textAlignment w:val="center"/>
              <w:rPr>
                <w:rFonts w:ascii="仿宋" w:hAnsi="仿宋" w:eastAsia="仿宋" w:cs="仿宋"/>
                <w:color w:val="000000"/>
                <w:sz w:val="22"/>
                <w:szCs w:val="22"/>
              </w:rPr>
            </w:pPr>
          </w:p>
        </w:tc>
      </w:tr>
      <w:tr>
        <w:tblPrEx>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*事业收入</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935" w:type="dxa"/>
            <w:tcBorders>
              <w:bottom w:val="single" w:color="000000" w:sz="4" w:space="0"/>
              <w:right w:val="single" w:color="000000" w:sz="12" w:space="0"/>
            </w:tcBorders>
            <w:shd w:val="clear" w:color="auto" w:fill="FFFFFF"/>
            <w:vAlign w:val="center"/>
          </w:tcPr>
          <w:p>
            <w:pPr>
              <w:jc w:val="left"/>
              <w:rPr>
                <w:rFonts w:ascii="仿宋" w:hAnsi="仿宋" w:eastAsia="仿宋" w:cs="仿宋"/>
                <w:color w:val="000000"/>
                <w:sz w:val="22"/>
                <w:szCs w:val="22"/>
              </w:rPr>
            </w:pPr>
          </w:p>
        </w:tc>
      </w:tr>
      <w:tr>
        <w:tblPrEx>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经营收入</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935" w:type="dxa"/>
            <w:tcBorders>
              <w:bottom w:val="single" w:color="000000" w:sz="4" w:space="0"/>
              <w:right w:val="single" w:color="000000" w:sz="12" w:space="0"/>
            </w:tcBorders>
            <w:shd w:val="clear" w:color="auto" w:fill="FFFFFF"/>
            <w:vAlign w:val="center"/>
          </w:tcPr>
          <w:p>
            <w:pPr>
              <w:jc w:val="left"/>
              <w:rPr>
                <w:rFonts w:ascii="仿宋" w:hAnsi="仿宋" w:eastAsia="仿宋" w:cs="仿宋"/>
                <w:color w:val="000000"/>
                <w:sz w:val="22"/>
                <w:szCs w:val="22"/>
              </w:rPr>
            </w:pPr>
          </w:p>
        </w:tc>
      </w:tr>
      <w:tr>
        <w:tblPrEx>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*其他收入</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0.00</w:t>
            </w:r>
          </w:p>
        </w:tc>
        <w:tc>
          <w:tcPr>
            <w:tcW w:w="1935" w:type="dxa"/>
            <w:tcBorders>
              <w:bottom w:val="single" w:color="000000" w:sz="4" w:space="0"/>
              <w:right w:val="single" w:color="000000" w:sz="12" w:space="0"/>
            </w:tcBorders>
            <w:shd w:val="clear" w:color="auto" w:fill="FFFFFF"/>
            <w:vAlign w:val="center"/>
          </w:tcPr>
          <w:p>
            <w:pPr>
              <w:jc w:val="left"/>
              <w:rPr>
                <w:rFonts w:ascii="仿宋" w:hAnsi="仿宋" w:eastAsia="仿宋" w:cs="仿宋"/>
                <w:color w:val="000000"/>
                <w:sz w:val="22"/>
                <w:szCs w:val="22"/>
              </w:rPr>
            </w:pPr>
          </w:p>
        </w:tc>
      </w:tr>
      <w:tr>
        <w:tblPrEx>
          <w:shd w:val="clear" w:color="auto" w:fill="FFFFFF"/>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2.本年支出</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85.81</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123</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43.34%</w:t>
            </w:r>
          </w:p>
        </w:tc>
        <w:tc>
          <w:tcPr>
            <w:tcW w:w="1935" w:type="dxa"/>
            <w:tcBorders>
              <w:bottom w:val="single" w:color="000000" w:sz="4" w:space="0"/>
              <w:right w:val="single" w:color="000000" w:sz="12"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Cs w:val="21"/>
              </w:rPr>
              <w:t>人员工资普调，项目增加等。</w:t>
            </w:r>
          </w:p>
        </w:tc>
      </w:tr>
      <w:tr>
        <w:tblPrEx>
          <w:shd w:val="clear" w:color="auto" w:fill="FFFFFF"/>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其中：基本支出</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80.81</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93.09</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15.2%</w:t>
            </w:r>
          </w:p>
        </w:tc>
        <w:tc>
          <w:tcPr>
            <w:tcW w:w="1935" w:type="dxa"/>
            <w:tcBorders>
              <w:bottom w:val="single" w:color="000000" w:sz="4" w:space="0"/>
              <w:right w:val="single" w:color="000000" w:sz="12"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人员工资普调、人员增加等。</w:t>
            </w:r>
          </w:p>
        </w:tc>
      </w:tr>
      <w:tr>
        <w:tblPrEx>
          <w:shd w:val="clear" w:color="auto" w:fill="FFFFFF"/>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（1）人员经费</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76.01</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87.59</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15.23%</w:t>
            </w:r>
          </w:p>
        </w:tc>
        <w:tc>
          <w:tcPr>
            <w:tcW w:w="1935" w:type="dxa"/>
            <w:tcBorders>
              <w:bottom w:val="single" w:color="000000" w:sz="4" w:space="0"/>
              <w:right w:val="single" w:color="000000" w:sz="12"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人员工资普调、人员增加等。</w:t>
            </w:r>
          </w:p>
        </w:tc>
      </w:tr>
      <w:tr>
        <w:tblPrEx>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（2）日常公用经费</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14.58%</w:t>
            </w:r>
          </w:p>
        </w:tc>
        <w:tc>
          <w:tcPr>
            <w:tcW w:w="1935" w:type="dxa"/>
            <w:tcBorders>
              <w:bottom w:val="single" w:color="000000" w:sz="4" w:space="0"/>
              <w:right w:val="single" w:color="000000" w:sz="12"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人员增加等</w:t>
            </w:r>
          </w:p>
        </w:tc>
      </w:tr>
      <w:tr>
        <w:tblPrEx>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项目支出</w:t>
            </w:r>
          </w:p>
        </w:tc>
        <w:tc>
          <w:tcPr>
            <w:tcW w:w="1023"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60"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29.91</w:t>
            </w:r>
          </w:p>
        </w:tc>
        <w:tc>
          <w:tcPr>
            <w:tcW w:w="1416" w:type="dxa"/>
            <w:tcBorders>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498.2%</w:t>
            </w:r>
          </w:p>
        </w:tc>
        <w:tc>
          <w:tcPr>
            <w:tcW w:w="1935" w:type="dxa"/>
            <w:tcBorders>
              <w:bottom w:val="single" w:color="000000" w:sz="4" w:space="0"/>
              <w:right w:val="single" w:color="000000" w:sz="12"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项目增加</w:t>
            </w:r>
          </w:p>
        </w:tc>
      </w:tr>
    </w:tbl>
    <w:p>
      <w:pPr>
        <w:pStyle w:val="2"/>
        <w:ind w:firstLine="640" w:firstLineChars="200"/>
        <w:jc w:val="both"/>
        <w:rPr>
          <w:rFonts w:cs="仿宋"/>
          <w:sz w:val="32"/>
          <w:szCs w:val="32"/>
        </w:rPr>
      </w:pPr>
      <w:r>
        <w:rPr>
          <w:rFonts w:hint="eastAsia" w:cs="仿宋"/>
          <w:sz w:val="32"/>
          <w:szCs w:val="32"/>
        </w:rPr>
        <w:t>4.“三公经费”控制情况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我单位的“三公”经费主要是公务接待费，本年度“三公经费”支出1000元，上年度“三公经费”支出1000元，与上年对比支出持平主要原因是严格控制招待费。2019年共接待2批次，接待人数24人。</w:t>
      </w:r>
    </w:p>
    <w:p/>
    <w:p>
      <w:pPr>
        <w:spacing w:line="560" w:lineRule="exact"/>
        <w:ind w:firstLine="640" w:firstLineChars="200"/>
        <w:rPr>
          <w:rFonts w:ascii="楷体" w:hAnsi="楷体" w:eastAsia="楷体" w:cs="楷体"/>
          <w:sz w:val="32"/>
          <w:szCs w:val="32"/>
        </w:rPr>
      </w:pPr>
      <w:r>
        <w:rPr>
          <w:rFonts w:hint="eastAsia" w:ascii="仿宋" w:hAnsi="仿宋" w:eastAsia="仿宋" w:cs="仿宋"/>
          <w:sz w:val="32"/>
          <w:szCs w:val="32"/>
        </w:rPr>
        <w:fldChar w:fldCharType="end"/>
      </w:r>
      <w:r>
        <w:rPr>
          <w:rFonts w:hint="eastAsia" w:ascii="楷体" w:hAnsi="楷体" w:eastAsia="楷体" w:cs="楷体"/>
          <w:sz w:val="32"/>
          <w:szCs w:val="32"/>
        </w:rPr>
        <w:t>（三）综合管理情况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预算管理。一是建立行之有效的项目安排决策机制，保证部门项目申报、审核、安排全过程公开透明；二是根据部门项目支出情况，制定完善项目资金管理办法，确保单位经费合规合理使用；三是按照规定的时限完成部门预算信息及“三公经费”预算的公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2.资产管理。一是制定相关管理办法，规范固定资产的采购、使用、处置；二是固定资产保存完整、配置合理、使用率达到95%；三是固定资产账务管理合规、账实相符、处置规范。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政府采购管理。对于各类采购项目，我馆严格按照相关规定执行审批流程，严把审批关。每年初根据工作开展需要制定出当年的采购项目计划。采购计划经馆委会通过后报财政局，经财政局审核后报政府采购中心备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4.非税收入管理。加强非税收入管理，确保收入的及时清收。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5.绩效管理和监督情况。坚持年初制定的全年目标任务责任到各室，到人头，确保各项工作有序开展。坚持工作目标任务与绩效工资挂钩，与年度目标考核评优挂钩，充分调动单位职工工作的积极性，做到奖勤罚懒，不搞一刀切，大锅饭。同时加强内部审计，接受上级部门的监督和审计，保证单位正常的经济活动有序开展，确保单位发展战略目标的全面实施和充分体现。能够较好地保证单位会计资料的真实性、合法性、完整性。</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val="en-US" w:eastAsia="zh-CN"/>
        </w:rPr>
        <w:t>结果应用情况</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单位对部门预算绩效管理工作开展情况认真进行了自查自评。将评价结果作为预算安排的重要依据，参照项目年度预算执行情况、项目支出需求，保障重点支出，调整支出结构，优化财政资金配置，不断强化绩效理念，推动我单位部门整体绩效管理水平不断提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（一）</w:t>
      </w:r>
      <w:r>
        <w:rPr>
          <w:rFonts w:hint="eastAsia" w:ascii="楷体" w:hAnsi="楷体" w:eastAsia="楷体" w:cs="楷体"/>
          <w:sz w:val="32"/>
          <w:szCs w:val="32"/>
          <w:lang w:val="en-US" w:eastAsia="zh-CN"/>
        </w:rPr>
        <w:t>评价结论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本单位按要求对2019年部门整体支出开展绩效自评，从评价情况来看全年基本支出保证了</w:t>
      </w:r>
      <w:r>
        <w:rPr>
          <w:rFonts w:hint="eastAsia" w:ascii="仿宋" w:hAnsi="仿宋" w:eastAsia="仿宋" w:cs="仿宋"/>
          <w:sz w:val="32"/>
          <w:szCs w:val="32"/>
        </w:rPr>
        <w:t>我馆职工的工资福利、遗属的生活补助、按时足额发放</w:t>
      </w:r>
      <w:r>
        <w:rPr>
          <w:rFonts w:hint="eastAsia" w:ascii="仿宋" w:hAnsi="仿宋" w:eastAsia="仿宋" w:cs="仿宋"/>
          <w:sz w:val="32"/>
          <w:szCs w:val="32"/>
          <w:lang w:eastAsia="zh-CN"/>
        </w:rPr>
        <w:t>，</w:t>
      </w:r>
      <w:r>
        <w:rPr>
          <w:rFonts w:hint="eastAsia" w:ascii="仿宋" w:hAnsi="仿宋" w:eastAsia="仿宋" w:cs="仿宋"/>
          <w:sz w:val="32"/>
          <w:szCs w:val="32"/>
        </w:rPr>
        <w:t>确保单位正常运转</w:t>
      </w:r>
      <w:r>
        <w:rPr>
          <w:rFonts w:hint="eastAsia" w:ascii="仿宋" w:hAnsi="仿宋" w:eastAsia="仿宋" w:cs="仿宋"/>
          <w:sz w:val="32"/>
          <w:szCs w:val="32"/>
          <w:lang w:val="en-US" w:eastAsia="zh-CN"/>
        </w:rPr>
        <w:t>和日常工作的正常开展，项目支出保障了重点工作的开展，绩效目标得到较好实现，绩效管理水平不断提高，绩效指标体系逐渐丰富和完善。</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（二）</w:t>
      </w:r>
      <w:r>
        <w:rPr>
          <w:rFonts w:hint="eastAsia" w:ascii="楷体" w:hAnsi="楷体" w:eastAsia="楷体" w:cs="楷体"/>
          <w:sz w:val="32"/>
          <w:szCs w:val="32"/>
          <w:lang w:val="en-US" w:eastAsia="zh-CN"/>
        </w:rPr>
        <w:t>存在问题</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rPr>
        <w:t>预算控制率有待降低。除政策性因素以外，由于部分临时、紧急或突发的工作任务导致年中追加预算。</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是部门</w:t>
      </w:r>
      <w:r>
        <w:rPr>
          <w:rFonts w:hint="eastAsia" w:ascii="仿宋" w:hAnsi="仿宋" w:eastAsia="仿宋" w:cs="仿宋"/>
          <w:sz w:val="32"/>
          <w:szCs w:val="32"/>
          <w:lang w:val="en-US" w:eastAsia="zh-CN"/>
        </w:rPr>
        <w:t>预算执行进度需进一步提高。</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三）改进建议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细化预算编制工作。进一步加强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2.加强预算执行管理。遵循预算管理办法，从严控制年中追加预算规模。对于年度无法预计的临时追加的相关工作所需费用，严格按照预算调整追加程序，逐级申报报批，有效降低预算控制率。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3.保障预算执行进度。加快项目实施进度的推进，加强项目开展进度的跟踪，开展项目绩效评价，确保项目绩效目标的完成，发挥资金的使用效益，压减年末结余资金规模，提高预算完成率。</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pStyle w:val="2"/>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4"/>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4C8B45E"/>
    <w:multiLevelType w:val="singleLevel"/>
    <w:tmpl w:val="54C8B45E"/>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50155"/>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0FF9"/>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0AA7"/>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2627"/>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D2D91"/>
    <w:rsid w:val="03A13F3A"/>
    <w:rsid w:val="05962EBD"/>
    <w:rsid w:val="062F12CA"/>
    <w:rsid w:val="0C1F43EA"/>
    <w:rsid w:val="0D260D33"/>
    <w:rsid w:val="0D866C45"/>
    <w:rsid w:val="10C055FF"/>
    <w:rsid w:val="125D2D25"/>
    <w:rsid w:val="13BE5A27"/>
    <w:rsid w:val="140A09A0"/>
    <w:rsid w:val="162D71C8"/>
    <w:rsid w:val="16B41270"/>
    <w:rsid w:val="16BB723D"/>
    <w:rsid w:val="19F54B26"/>
    <w:rsid w:val="1C17155B"/>
    <w:rsid w:val="1CF41959"/>
    <w:rsid w:val="1DAA4E12"/>
    <w:rsid w:val="240371BF"/>
    <w:rsid w:val="281F160A"/>
    <w:rsid w:val="29FD04D3"/>
    <w:rsid w:val="2A4D38C6"/>
    <w:rsid w:val="2BEF0877"/>
    <w:rsid w:val="2CA64F35"/>
    <w:rsid w:val="2ECD4E93"/>
    <w:rsid w:val="319F7F4E"/>
    <w:rsid w:val="335E1196"/>
    <w:rsid w:val="3DB076B1"/>
    <w:rsid w:val="487E508B"/>
    <w:rsid w:val="4ECE2238"/>
    <w:rsid w:val="52A91376"/>
    <w:rsid w:val="52E06A08"/>
    <w:rsid w:val="5561451B"/>
    <w:rsid w:val="5609397B"/>
    <w:rsid w:val="59E025F1"/>
    <w:rsid w:val="5B011561"/>
    <w:rsid w:val="621424E2"/>
    <w:rsid w:val="63311CE7"/>
    <w:rsid w:val="64181C78"/>
    <w:rsid w:val="72734D90"/>
    <w:rsid w:val="741D3082"/>
    <w:rsid w:val="77F74062"/>
    <w:rsid w:val="79F808AF"/>
    <w:rsid w:val="7D3C1F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Body Text"/>
    <w:basedOn w:val="1"/>
    <w:link w:val="21"/>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10"/>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9"/>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6"/>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8"/>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embeddings/oleObject6.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42535315768584"/>
          <c:y val="0.00666963094708759"/>
        </c:manualLayout>
      </c:layout>
      <c:overlay val="0"/>
      <c:spPr>
        <a:noFill/>
        <a:ln>
          <a:noFill/>
        </a:ln>
        <a:effectLst/>
      </c:spPr>
    </c:title>
    <c:autoTitleDeleted val="0"/>
    <c:plotArea>
      <c:layout>
        <c:manualLayout>
          <c:layoutTarget val="inner"/>
          <c:xMode val="edge"/>
          <c:yMode val="edge"/>
          <c:x val="0.0904833219877468"/>
          <c:y val="0.149418121363259"/>
          <c:w val="0.905296119809394"/>
          <c:h val="0.59380714879468"/>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123</c:v>
                </c:pt>
                <c:pt idx="1">
                  <c:v>123</c:v>
                </c:pt>
              </c:numCache>
            </c:numRef>
          </c:val>
        </c:ser>
        <c:ser>
          <c:idx val="1"/>
          <c:order val="1"/>
          <c:tx>
            <c:strRef>
              <c:f>Sheet1!$C$1</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125.66</c:v>
                </c:pt>
                <c:pt idx="1">
                  <c:v>125.66</c:v>
                </c:pt>
              </c:numCache>
            </c:numRef>
          </c:val>
        </c:ser>
        <c:ser>
          <c:idx val="2"/>
          <c:order val="2"/>
          <c:tx>
            <c:strRef>
              <c:f>Sheet1!#REF!</c:f>
              <c:strCache>
                <c:ptCount val="1"/>
                <c:pt idx="0">
                  <c:v>#REF!</c:v>
                </c:pt>
              </c:strCache>
            </c:strRef>
          </c:tx>
          <c:spPr>
            <a:solidFill>
              <a:schemeClr val="accent3"/>
            </a:solidFill>
            <a:ln>
              <a:noFill/>
            </a:ln>
            <a:effectLst/>
          </c:spPr>
          <c:invertIfNegative val="0"/>
          <c:dLbls>
            <c:delete val="1"/>
          </c:dLbls>
          <c:cat>
            <c:strRef>
              <c:f>Sheet1!$A$2:$A$3</c:f>
              <c:strCache>
                <c:ptCount val="2"/>
                <c:pt idx="0">
                  <c:v>财政拨款收入总计</c:v>
                </c:pt>
                <c:pt idx="1">
                  <c:v>财政拨款支出总计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486486400"/>
        <c:axId val="486488320"/>
      </c:barChart>
      <c:catAx>
        <c:axId val="486486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488320"/>
        <c:crosses val="autoZero"/>
        <c:auto val="1"/>
        <c:lblAlgn val="ctr"/>
        <c:lblOffset val="100"/>
        <c:noMultiLvlLbl val="0"/>
      </c:catAx>
      <c:valAx>
        <c:axId val="48648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48640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Lbls>
            <c:dLbl>
              <c:idx val="0"/>
              <c:layout>
                <c:manualLayout>
                  <c:x val="0.607735587223405"/>
                  <c:y val="0.04783832797298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108.09</c:v>
                </c:pt>
              </c:numCache>
            </c:numRef>
          </c:val>
        </c:ser>
        <c:dLbls>
          <c:showLegendKey val="0"/>
          <c:showVal val="0"/>
          <c:showCatName val="1"/>
          <c:showSerName val="0"/>
          <c:showPercent val="1"/>
          <c:showBubbleSize val="0"/>
          <c:showLeaderLines val="1"/>
        </c:dLbls>
        <c:firstSliceAng val="57"/>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支出决算结构图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93.09</c:v>
                </c:pt>
                <c:pt idx="1">
                  <c:v>29.91</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altLang="zh-CN"/>
              <a:t>财政拨款收、支决算总计变动表</a:t>
            </a:r>
            <a:endParaRPr altLang="zh-CN"/>
          </a:p>
        </c:rich>
      </c:tx>
      <c:layout/>
      <c:overlay val="0"/>
    </c:title>
    <c:autoTitleDeleted val="0"/>
    <c:plotArea>
      <c:layout>
        <c:manualLayout>
          <c:layoutTarget val="inner"/>
          <c:xMode val="edge"/>
          <c:yMode val="edge"/>
          <c:x val="0.0829615338237067"/>
          <c:y val="0.250821692686935"/>
          <c:w val="0.550705414204751"/>
          <c:h val="0.641125718981101"/>
        </c:manualLayout>
      </c:layout>
      <c:barChart>
        <c:barDir val="col"/>
        <c:grouping val="clustered"/>
        <c:varyColors val="0"/>
        <c:ser>
          <c:idx val="0"/>
          <c:order val="0"/>
          <c:tx>
            <c:strRef>
              <c:f>Sheet1!$B$2</c:f>
              <c:strCache>
                <c:ptCount val="1"/>
                <c:pt idx="0">
                  <c:v>财政拨款收入总计</c:v>
                </c:pt>
              </c:strCache>
            </c:strRef>
          </c:tx>
          <c:invertIfNegative val="0"/>
          <c:dLbls>
            <c:dLbl>
              <c:idx val="1"/>
              <c:layout>
                <c:manualLayout>
                  <c:x val="-0.0163686382393398"/>
                  <c:y val="0.03950743971267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Sheet1!$A$3:$A$4</c:f>
              <c:strCache>
                <c:ptCount val="2"/>
                <c:pt idx="0">
                  <c:v>2019年</c:v>
                </c:pt>
                <c:pt idx="1">
                  <c:v>2018年</c:v>
                </c:pt>
              </c:strCache>
            </c:strRef>
          </c:cat>
          <c:val>
            <c:numRef>
              <c:f>Sheet1!$B$3:$B$4</c:f>
              <c:numCache>
                <c:formatCode>General</c:formatCode>
                <c:ptCount val="2"/>
                <c:pt idx="0">
                  <c:v>123</c:v>
                </c:pt>
                <c:pt idx="1">
                  <c:v>125.66</c:v>
                </c:pt>
              </c:numCache>
            </c:numRef>
          </c:val>
        </c:ser>
        <c:ser>
          <c:idx val="1"/>
          <c:order val="1"/>
          <c:tx>
            <c:strRef>
              <c:f>Sheet1!$C$2</c:f>
              <c:strCache>
                <c:ptCount val="1"/>
                <c:pt idx="0">
                  <c:v>财政拨款支出总计</c:v>
                </c:pt>
              </c:strCache>
            </c:strRef>
          </c:tx>
          <c:invertIfNegative val="0"/>
          <c:dLbls>
            <c:dLbl>
              <c:idx val="1"/>
              <c:layout>
                <c:manualLayout>
                  <c:x val="0.0349381017881706"/>
                  <c:y val="0.02180605438686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Sheet1!$A$3:$A$4</c:f>
              <c:strCache>
                <c:ptCount val="2"/>
                <c:pt idx="0">
                  <c:v>2019年</c:v>
                </c:pt>
                <c:pt idx="1">
                  <c:v>2018年</c:v>
                </c:pt>
              </c:strCache>
            </c:strRef>
          </c:cat>
          <c:val>
            <c:numRef>
              <c:f>Sheet1!$C$3:$C$4</c:f>
              <c:numCache>
                <c:formatCode>General</c:formatCode>
                <c:ptCount val="2"/>
                <c:pt idx="0">
                  <c:v>123</c:v>
                </c:pt>
                <c:pt idx="1">
                  <c:v>125.66</c:v>
                </c:pt>
              </c:numCache>
            </c:numRef>
          </c:val>
        </c:ser>
        <c:dLbls>
          <c:showLegendKey val="0"/>
          <c:showVal val="1"/>
          <c:showCatName val="0"/>
          <c:showSerName val="0"/>
          <c:showPercent val="0"/>
          <c:showBubbleSize val="0"/>
        </c:dLbls>
        <c:gapWidth val="150"/>
        <c:axId val="293579008"/>
        <c:axId val="293580800"/>
      </c:barChart>
      <c:catAx>
        <c:axId val="293579008"/>
        <c:scaling>
          <c:orientation val="minMax"/>
        </c:scaling>
        <c:delete val="0"/>
        <c:axPos val="b"/>
        <c:majorTickMark val="out"/>
        <c:minorTickMark val="none"/>
        <c:tickLblPos val="nextTo"/>
        <c:txPr>
          <a:bodyPr rot="-60000000" spcFirstLastPara="0" vertOverflow="ellipsis" vert="horz" wrap="square" anchor="ctr" anchorCtr="1"/>
          <a:lstStyle/>
          <a:p>
            <a:pPr algn="l">
              <a:defRPr lang="zh-CN" sz="1000" b="0" i="0" u="none" strike="noStrike" kern="1200" baseline="0">
                <a:solidFill>
                  <a:schemeClr val="tx1"/>
                </a:solidFill>
                <a:latin typeface="+mn-lt"/>
                <a:ea typeface="+mn-ea"/>
                <a:cs typeface="+mn-cs"/>
              </a:defRPr>
            </a:pPr>
          </a:p>
        </c:txPr>
        <c:crossAx val="293580800"/>
        <c:crosses val="autoZero"/>
        <c:auto val="1"/>
        <c:lblAlgn val="ctr"/>
        <c:lblOffset val="100"/>
        <c:noMultiLvlLbl val="0"/>
      </c:catAx>
      <c:valAx>
        <c:axId val="2935808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3579008"/>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4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45044610561852"/>
          <c:y val="0.190838126540674"/>
          <c:w val="0.547142512659754"/>
          <c:h val="0.715488907148726"/>
        </c:manualLayout>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2019年</c:v>
                </c:pt>
                <c:pt idx="1">
                  <c:v>2018年</c:v>
                </c:pt>
              </c:strCache>
            </c:strRef>
          </c:cat>
          <c:val>
            <c:numRef>
              <c:f>Sheet1!$B$2:$B$4</c:f>
              <c:numCache>
                <c:formatCode>General</c:formatCode>
                <c:ptCount val="3"/>
                <c:pt idx="0">
                  <c:v>123</c:v>
                </c:pt>
                <c:pt idx="1">
                  <c:v>110.75</c:v>
                </c:pt>
              </c:numCache>
            </c:numRef>
          </c:val>
        </c:ser>
        <c:dLbls>
          <c:showLegendKey val="0"/>
          <c:showVal val="1"/>
          <c:showCatName val="0"/>
          <c:showSerName val="0"/>
          <c:showPercent val="0"/>
          <c:showBubbleSize val="0"/>
        </c:dLbls>
        <c:gapWidth val="150"/>
        <c:axId val="293592448"/>
        <c:axId val="316643584"/>
      </c:barChart>
      <c:catAx>
        <c:axId val="29359244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6643584"/>
        <c:crosses val="autoZero"/>
        <c:auto val="1"/>
        <c:lblAlgn val="ctr"/>
        <c:lblOffset val="100"/>
        <c:noMultiLvlLbl val="0"/>
      </c:catAx>
      <c:valAx>
        <c:axId val="31664358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35924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7742712599374"/>
          <c:y val="0.028241599670171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 一般公共预算财政拨款支出决算结构图</c:v>
                </c:pt>
              </c:strCache>
            </c:strRef>
          </c:tx>
          <c:explosion val="0"/>
          <c:dPt>
            <c:idx val="0"/>
            <c:bubble3D val="0"/>
          </c:dPt>
          <c:dPt>
            <c:idx val="1"/>
            <c:bubble3D val="0"/>
          </c:dPt>
          <c:dPt>
            <c:idx val="2"/>
            <c:bubble3D val="0"/>
          </c:dPt>
          <c:dPt>
            <c:idx val="3"/>
            <c:bubble3D val="0"/>
          </c:dPt>
          <c:dLbls>
            <c:delete val="1"/>
          </c:dLbls>
          <c:cat>
            <c:strRef>
              <c:f>Sheet1!$A$2:$A$5</c:f>
              <c:strCache>
                <c:ptCount val="4"/>
                <c:pt idx="0">
                  <c:v>文化体育与传媒（类）82.83%</c:v>
                </c:pt>
                <c:pt idx="1">
                  <c:v>社会保障和就业（类）8.65%</c:v>
                </c:pt>
                <c:pt idx="2">
                  <c:v>医疗卫生（类）3.15%</c:v>
                </c:pt>
                <c:pt idx="3">
                  <c:v>住房保障（类）5.37%</c:v>
                </c:pt>
              </c:strCache>
            </c:strRef>
          </c:cat>
          <c:val>
            <c:numRef>
              <c:f>Sheet1!$B$2:$B$5</c:f>
              <c:numCache>
                <c:formatCode>General</c:formatCode>
                <c:ptCount val="4"/>
                <c:pt idx="0">
                  <c:v>101.88</c:v>
                </c:pt>
                <c:pt idx="1">
                  <c:v>10.64</c:v>
                </c:pt>
                <c:pt idx="2">
                  <c:v>3.87</c:v>
                </c:pt>
                <c:pt idx="3">
                  <c:v>6.61</c:v>
                </c:pt>
              </c:numCache>
            </c:numRef>
          </c:val>
        </c:ser>
        <c:dLbls>
          <c:showLegendKey val="0"/>
          <c:showVal val="0"/>
          <c:showCatName val="0"/>
          <c:showSerName val="0"/>
          <c:showPercent val="1"/>
          <c:showBubbleSize val="0"/>
          <c:showLeaderLines val="1"/>
        </c:dLbls>
        <c:firstSliceAng val="91"/>
      </c:pieChart>
    </c:plotArea>
    <c:legend>
      <c:legendPos val="r"/>
      <c:layout>
        <c:manualLayout>
          <c:xMode val="edge"/>
          <c:yMode val="edge"/>
          <c:x val="0.56109059336758"/>
          <c:y val="0.205992747650907"/>
          <c:w val="0.424454561992599"/>
          <c:h val="0.72158309087964"/>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a:t>
            </a:r>
            <a:r>
              <a:rPr altLang="en-US"/>
              <a:t>三公</a:t>
            </a:r>
            <a:r>
              <a:rPr lang="en-US" altLang="zh-CN"/>
              <a:t>”</a:t>
            </a:r>
            <a:r>
              <a:rPr altLang="en-US"/>
              <a:t>经费财政拨款支出结构</a:t>
            </a:r>
            <a:endParaRPr lang="en-US" altLang="zh-CN"/>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Lbls>
            <c:dLbl>
              <c:idx val="0"/>
              <c:layout>
                <c:manualLayout>
                  <c:x val="0.607735587223405"/>
                  <c:y val="0.04783832797298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因公出国（境）费0%</c:v>
                </c:pt>
                <c:pt idx="1">
                  <c:v>公务用车购置及运行维护费0%</c:v>
                </c:pt>
                <c:pt idx="2">
                  <c:v>公务接待费100%</c:v>
                </c:pt>
              </c:strCache>
            </c:strRef>
          </c:cat>
          <c:val>
            <c:numRef>
              <c:f>Sheet1!$B$2:$B$4</c:f>
              <c:numCache>
                <c:formatCode>General</c:formatCode>
                <c:ptCount val="3"/>
                <c:pt idx="2">
                  <c:v>0.1</c:v>
                </c:pt>
              </c:numCache>
            </c:numRef>
          </c:val>
        </c:ser>
        <c:dLbls>
          <c:showLegendKey val="0"/>
          <c:showVal val="0"/>
          <c:showCatName val="1"/>
          <c:showSerName val="0"/>
          <c:showPercent val="1"/>
          <c:showBubbleSize val="0"/>
          <c:showLeaderLines val="1"/>
        </c:dLbls>
        <c:firstSliceAng val="57"/>
      </c:pieChart>
    </c:plotArea>
    <c:legend>
      <c:legendPos val="r"/>
      <c:layout>
        <c:manualLayout>
          <c:xMode val="edge"/>
          <c:yMode val="edge"/>
          <c:x val="0.648681790312692"/>
          <c:y val="0.367007672634271"/>
          <c:w val="0.33292458614347"/>
          <c:h val="0.51822250639386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501C5-D788-477A-B495-680A1D31F19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8138</Words>
  <Characters>2109</Characters>
  <Lines>17</Lines>
  <Paragraphs>20</Paragraphs>
  <TotalTime>0</TotalTime>
  <ScaleCrop>false</ScaleCrop>
  <LinksUpToDate>false</LinksUpToDate>
  <CharactersWithSpaces>10227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2020-09-23T03:08:00Z</dcterms:created>
  <dc:creator>曹颖</dc:creator>
  <cp:lastModifiedBy>光辉芹儿</cp:lastModifiedBy>
  <cp:lastPrinted>2020-07-23T02:58:00Z</cp:lastPrinted>
  <dcterms:modified xsi:type="dcterms:W3CDTF">2021-06-16T05:26:54Z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80748F219CEE4792840118F81A5BBA1D</vt:lpwstr>
  </property>
</Properties>
</file>