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9"/>
        <w:rPr>
          <w:rFonts w:ascii="黑体" w:hAnsi="黑体" w:eastAsia="黑体"/>
          <w:color w:val="000000"/>
          <w:sz w:val="72"/>
          <w:szCs w:val="72"/>
        </w:rPr>
      </w:pPr>
      <w:bookmarkStart w:id="0" w:name="_Toc15378441"/>
      <w:bookmarkStart w:id="1" w:name="_Toc15377425"/>
      <w:bookmarkStart w:id="2" w:name="_Toc15377193"/>
      <w:bookmarkStart w:id="3" w:name="_Toc15396475"/>
      <w:bookmarkStart w:id="4" w:name="_Toc15396597"/>
    </w:p>
    <w:p>
      <w:pPr>
        <w:adjustRightInd w:val="0"/>
        <w:snapToGrid w:val="0"/>
        <w:spacing w:line="360" w:lineRule="auto"/>
        <w:jc w:val="center"/>
        <w:outlineLvl w:val="9"/>
        <w:rPr>
          <w:rFonts w:ascii="黑体" w:hAnsi="黑体" w:eastAsia="黑体"/>
          <w:color w:val="000000"/>
          <w:sz w:val="72"/>
          <w:szCs w:val="72"/>
        </w:rPr>
      </w:pPr>
    </w:p>
    <w:p>
      <w:pPr>
        <w:adjustRightInd w:val="0"/>
        <w:snapToGrid w:val="0"/>
        <w:spacing w:line="360" w:lineRule="auto"/>
        <w:jc w:val="center"/>
        <w:outlineLvl w:val="9"/>
        <w:rPr>
          <w:rFonts w:ascii="黑体" w:hAnsi="黑体" w:eastAsia="黑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5" w:name="_Toc26778"/>
      <w:bookmarkStart w:id="6" w:name="_Toc11573"/>
      <w:bookmarkStart w:id="7" w:name="_Toc25389"/>
      <w:bookmarkStart w:id="8" w:name="_Toc9685"/>
      <w:r>
        <w:rPr>
          <w:rFonts w:ascii="黑体" w:hAnsi="黑体" w:eastAsia="黑体"/>
          <w:color w:val="000000"/>
          <w:sz w:val="72"/>
          <w:szCs w:val="72"/>
        </w:rPr>
        <w:t>201</w:t>
      </w:r>
      <w:r>
        <w:rPr>
          <w:rFonts w:hint="eastAsia" w:ascii="黑体" w:hAnsi="黑体" w:eastAsia="黑体"/>
          <w:color w:val="000000"/>
          <w:sz w:val="72"/>
          <w:szCs w:val="72"/>
          <w:lang w:val="en-US" w:eastAsia="zh-CN"/>
        </w:rPr>
        <w:t>9</w:t>
      </w:r>
      <w:r>
        <w:rPr>
          <w:rFonts w:hint="eastAsia" w:ascii="方正小标宋简体" w:hAnsi="宋体" w:eastAsia="方正小标宋简体"/>
          <w:color w:val="000000"/>
          <w:sz w:val="72"/>
          <w:szCs w:val="72"/>
        </w:rPr>
        <w:t>年度</w:t>
      </w:r>
      <w:bookmarkEnd w:id="0"/>
      <w:bookmarkEnd w:id="1"/>
      <w:bookmarkEnd w:id="2"/>
      <w:bookmarkEnd w:id="3"/>
      <w:bookmarkEnd w:id="4"/>
      <w:bookmarkEnd w:id="5"/>
      <w:bookmarkEnd w:id="6"/>
      <w:bookmarkEnd w:id="7"/>
      <w:bookmarkEnd w:id="8"/>
    </w:p>
    <w:p>
      <w:pPr>
        <w:spacing w:before="0" w:beforeLines="0" w:after="0" w:afterLines="0" w:line="240" w:lineRule="auto"/>
        <w:ind w:left="0" w:leftChars="0" w:right="0" w:rightChars="0" w:firstLine="0" w:firstLineChars="0"/>
        <w:jc w:val="center"/>
        <w:rPr>
          <w:rFonts w:hint="eastAsia" w:ascii="方正小标宋简体" w:hAnsi="宋体" w:eastAsia="方正小标宋简体"/>
          <w:color w:val="000000"/>
          <w:sz w:val="72"/>
          <w:szCs w:val="72"/>
        </w:rPr>
      </w:pPr>
      <w:bookmarkStart w:id="9" w:name="_Toc9357"/>
      <w:bookmarkStart w:id="10" w:name="_Toc11425"/>
      <w:bookmarkStart w:id="11" w:name="_Toc15396598"/>
      <w:bookmarkStart w:id="12" w:name="_Toc15377426"/>
      <w:bookmarkStart w:id="13" w:name="_Toc15396476"/>
      <w:bookmarkStart w:id="14" w:name="_Toc15245"/>
      <w:bookmarkStart w:id="15" w:name="_Toc15378442"/>
      <w:bookmarkStart w:id="16" w:name="_Toc15377194"/>
      <w:bookmarkStart w:id="17" w:name="_Toc12364"/>
      <w:r>
        <w:rPr>
          <w:rFonts w:hint="eastAsia" w:ascii="方正小标宋简体" w:hAnsi="宋体" w:eastAsia="方正小标宋简体"/>
          <w:color w:val="000000"/>
          <w:sz w:val="72"/>
          <w:szCs w:val="72"/>
        </w:rPr>
        <w:t>四川省</w:t>
      </w:r>
      <w:bookmarkStart w:id="18" w:name="_Toc15306268"/>
      <w:r>
        <w:rPr>
          <w:rFonts w:hint="eastAsia" w:ascii="方正小标宋简体" w:hAnsi="宋体" w:eastAsia="方正小标宋简体"/>
          <w:color w:val="000000"/>
          <w:sz w:val="72"/>
          <w:szCs w:val="72"/>
          <w:lang w:eastAsia="zh-CN"/>
        </w:rPr>
        <w:t>开江县就业服务管理局</w:t>
      </w:r>
      <w:r>
        <w:rPr>
          <w:rFonts w:hint="eastAsia" w:ascii="方正小标宋简体" w:hAnsi="宋体" w:eastAsia="方正小标宋简体"/>
          <w:color w:val="000000"/>
          <w:sz w:val="72"/>
          <w:szCs w:val="72"/>
        </w:rPr>
        <w:t>部门决算</w:t>
      </w:r>
      <w:bookmarkEnd w:id="9"/>
      <w:bookmarkEnd w:id="10"/>
      <w:bookmarkEnd w:id="11"/>
      <w:bookmarkEnd w:id="12"/>
      <w:bookmarkEnd w:id="13"/>
      <w:bookmarkEnd w:id="14"/>
      <w:bookmarkEnd w:id="15"/>
      <w:bookmarkEnd w:id="16"/>
      <w:bookmarkEnd w:id="17"/>
      <w:bookmarkEnd w:id="18"/>
    </w:p>
    <w:p>
      <w:pPr>
        <w:spacing w:before="0" w:beforeLines="0" w:after="0" w:afterLines="0" w:line="240" w:lineRule="auto"/>
        <w:ind w:left="0" w:leftChars="0" w:right="0" w:rightChars="0" w:firstLine="0" w:firstLineChars="0"/>
        <w:jc w:val="center"/>
        <w:rPr>
          <w:rFonts w:hint="eastAsia" w:ascii="方正小标宋简体" w:hAnsi="宋体" w:eastAsia="方正小标宋简体"/>
          <w:color w:val="000000"/>
          <w:sz w:val="72"/>
          <w:szCs w:val="72"/>
        </w:rPr>
      </w:pPr>
    </w:p>
    <w:p>
      <w:pPr>
        <w:spacing w:before="0" w:beforeLines="0" w:after="0" w:afterLines="0" w:line="240" w:lineRule="auto"/>
        <w:ind w:left="0" w:leftChars="0" w:right="0" w:rightChars="0" w:firstLine="0" w:firstLineChars="0"/>
        <w:jc w:val="center"/>
        <w:rPr>
          <w:rFonts w:hint="eastAsia" w:ascii="方正小标宋简体" w:hAnsi="宋体" w:eastAsia="方正小标宋简体"/>
          <w:color w:val="000000"/>
          <w:sz w:val="72"/>
          <w:szCs w:val="72"/>
        </w:rPr>
      </w:pPr>
    </w:p>
    <w:p>
      <w:pPr>
        <w:spacing w:before="0" w:beforeLines="0" w:after="0" w:afterLines="0" w:line="240" w:lineRule="auto"/>
        <w:ind w:left="0" w:leftChars="0" w:right="0" w:rightChars="0" w:firstLine="0" w:firstLineChars="0"/>
        <w:jc w:val="center"/>
        <w:rPr>
          <w:rFonts w:hint="eastAsia" w:ascii="方正小标宋简体" w:hAnsi="宋体" w:eastAsia="方正小标宋简体"/>
          <w:color w:val="000000"/>
          <w:sz w:val="72"/>
          <w:szCs w:val="72"/>
        </w:rPr>
      </w:pPr>
    </w:p>
    <w:p>
      <w:pPr>
        <w:spacing w:before="0" w:beforeLines="0" w:after="0" w:afterLines="0" w:line="240" w:lineRule="auto"/>
        <w:ind w:left="0" w:leftChars="0" w:right="0" w:rightChars="0" w:firstLine="0" w:firstLineChars="0"/>
        <w:jc w:val="center"/>
        <w:rPr>
          <w:rFonts w:hint="eastAsia" w:ascii="方正小标宋简体" w:hAnsi="宋体" w:eastAsia="方正小标宋简体"/>
          <w:color w:val="000000"/>
          <w:sz w:val="72"/>
          <w:szCs w:val="72"/>
        </w:rPr>
      </w:pPr>
    </w:p>
    <w:p>
      <w:pPr>
        <w:spacing w:before="0" w:beforeLines="0" w:after="0" w:afterLines="0" w:line="240" w:lineRule="auto"/>
        <w:ind w:left="0" w:leftChars="0" w:right="0" w:rightChars="0" w:firstLine="0" w:firstLineChars="0"/>
        <w:jc w:val="center"/>
        <w:rPr>
          <w:rFonts w:hint="eastAsia" w:ascii="方正小标宋简体" w:hAnsi="宋体" w:eastAsia="方正小标宋简体"/>
          <w:color w:val="000000"/>
          <w:sz w:val="72"/>
          <w:szCs w:val="72"/>
        </w:rPr>
      </w:pPr>
    </w:p>
    <w:sdt>
      <w:sdtPr>
        <w:rPr>
          <w:rFonts w:ascii="宋体" w:hAnsi="宋体" w:eastAsia="宋体" w:cs="Times New Roman"/>
          <w:kern w:val="2"/>
          <w:sz w:val="21"/>
          <w:szCs w:val="24"/>
          <w:lang w:val="en-US" w:eastAsia="zh-CN" w:bidi="ar-SA"/>
        </w:rPr>
        <w:id w:val="147466802"/>
        <w15:color w:val="DBDBDB"/>
        <w:docPartObj>
          <w:docPartGallery w:val="Table of Contents"/>
          <w:docPartUnique/>
        </w:docPartObj>
      </w:sdtPr>
      <w:sdtEndPr>
        <w:rPr>
          <w:rFonts w:hint="eastAsia" w:ascii="Times New Roman" w:hAnsi="Times New Roman" w:eastAsia="宋体" w:cs="Times New Roman"/>
          <w:kern w:val="2"/>
          <w:sz w:val="21"/>
          <w:szCs w:val="24"/>
          <w:lang w:val="en-US" w:eastAsia="zh-CN" w:bidi="ar-SA"/>
        </w:rPr>
      </w:sdtEndPr>
      <w:sdtContent>
        <w:p>
          <w:pPr>
            <w:adjustRightInd w:val="0"/>
            <w:snapToGrid w:val="0"/>
            <w:spacing w:line="360" w:lineRule="auto"/>
            <w:jc w:val="center"/>
            <w:outlineLvl w:val="0"/>
            <w:rPr>
              <w:rFonts w:hint="eastAsia" w:ascii="宋体" w:hAnsi="宋体" w:eastAsia="宋体" w:cs="宋体"/>
              <w:sz w:val="44"/>
              <w:szCs w:val="44"/>
            </w:rPr>
          </w:pPr>
          <w:r>
            <w:rPr>
              <w:rFonts w:hint="eastAsia" w:ascii="宋体" w:hAnsi="宋体" w:eastAsia="宋体" w:cs="宋体"/>
              <w:sz w:val="44"/>
              <w:szCs w:val="44"/>
            </w:rPr>
            <w:t>目录</w:t>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TOC \o "1-1" \h \u </w:instrText>
          </w:r>
          <w:r>
            <w:rPr>
              <w:rFonts w:hint="eastAsia" w:ascii="宋体" w:hAnsi="宋体" w:eastAsia="宋体" w:cs="宋体"/>
              <w:sz w:val="28"/>
              <w:szCs w:val="28"/>
              <w:lang w:val="en-US" w:eastAsia="zh-CN"/>
            </w:rPr>
            <w:fldChar w:fldCharType="separate"/>
          </w:r>
        </w:p>
        <w:p>
          <w:pPr>
            <w:pStyle w:val="7"/>
            <w:tabs>
              <w:tab w:val="right" w:leader="dot" w:pos="8306"/>
            </w:tabs>
            <w:rPr>
              <w:rFonts w:hint="eastAsia" w:ascii="宋体" w:hAnsi="宋体" w:eastAsia="宋体" w:cs="宋体"/>
              <w:sz w:val="28"/>
              <w:szCs w:val="28"/>
            </w:rPr>
          </w:pPr>
          <w:r>
            <w:rPr>
              <w:rFonts w:hint="eastAsia" w:ascii="宋体" w:hAnsi="宋体" w:eastAsia="宋体" w:cs="宋体"/>
              <w:b/>
              <w:bCs/>
              <w:sz w:val="28"/>
              <w:szCs w:val="28"/>
              <w:lang w:val="en-US" w:eastAsia="zh-CN"/>
            </w:rPr>
            <w:t>第一部分</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_Toc13661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rPr>
            <w:t>一、基本职能及主要工作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_Toc13661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_Toc10586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rPr>
            <w:t>二、部门概况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_Toc10586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b/>
              <w:bCs/>
              <w:sz w:val="28"/>
              <w:szCs w:val="28"/>
              <w:lang w:val="en-US" w:eastAsia="zh-CN"/>
            </w:rPr>
            <w:t>第二部分</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_Toc31046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rPr>
            <w:t>一、收入支出决算总体情况说明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_Toc31046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_Toc9606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rPr>
            <w:t>二、收入决算情况说明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_Toc9606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_Toc11692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eastAsia="zh-CN"/>
            </w:rPr>
            <w:t>三、</w:t>
          </w:r>
          <w:r>
            <w:rPr>
              <w:rFonts w:hint="eastAsia" w:ascii="宋体" w:hAnsi="宋体" w:eastAsia="宋体" w:cs="宋体"/>
              <w:sz w:val="28"/>
              <w:szCs w:val="28"/>
            </w:rPr>
            <w:t>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_Toc11692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_Toc3002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rPr>
            <w:t>四、财政拨款收入支出决算总体情况说明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_Toc3002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_Toc30336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rPr>
            <w:t>五、 一般公共预算财政拨款支出决算情况说明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_Toc30336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_Toc11786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rPr>
            <w:t>六、 一般公共预算财政拨款基本支出决算情况说明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_Toc11786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_Toc19405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eastAsia="zh-CN"/>
            </w:rPr>
            <w:t>七</w:t>
          </w:r>
          <w:r>
            <w:rPr>
              <w:rFonts w:hint="eastAsia" w:ascii="宋体" w:hAnsi="宋体" w:eastAsia="宋体" w:cs="宋体"/>
              <w:sz w:val="28"/>
              <w:szCs w:val="28"/>
            </w:rPr>
            <w:t>、“三公”经费财政拨款支出决算情况说明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_Toc19405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_Toc24977 </w:instrText>
          </w:r>
          <w:r>
            <w:rPr>
              <w:rFonts w:hint="eastAsia" w:ascii="宋体" w:hAnsi="宋体" w:eastAsia="宋体" w:cs="宋体"/>
              <w:sz w:val="28"/>
              <w:szCs w:val="28"/>
              <w:lang w:val="en-US" w:eastAsia="zh-CN"/>
            </w:rPr>
            <w:fldChar w:fldCharType="separate"/>
          </w:r>
          <w:r>
            <w:rPr>
              <w:rFonts w:hint="eastAsia" w:ascii="宋体" w:hAnsi="宋体" w:eastAsia="宋体" w:cs="宋体"/>
              <w:bCs/>
              <w:i w:val="0"/>
              <w:iCs w:val="0"/>
              <w:caps w:val="0"/>
              <w:spacing w:val="0"/>
              <w:kern w:val="0"/>
              <w:sz w:val="28"/>
              <w:szCs w:val="28"/>
              <w:shd w:val="clear" w:fill="FFFFFF"/>
              <w:lang w:val="en-US" w:eastAsia="zh-CN" w:bidi="ar"/>
            </w:rPr>
            <w:t>八、政府性基金预算支出决算情况说明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_Toc24977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_Toc24209 </w:instrText>
          </w:r>
          <w:r>
            <w:rPr>
              <w:rFonts w:hint="eastAsia" w:ascii="宋体" w:hAnsi="宋体" w:eastAsia="宋体" w:cs="宋体"/>
              <w:sz w:val="28"/>
              <w:szCs w:val="28"/>
              <w:lang w:val="en-US" w:eastAsia="zh-CN"/>
            </w:rPr>
            <w:fldChar w:fldCharType="separate"/>
          </w:r>
          <w:r>
            <w:rPr>
              <w:rFonts w:hint="eastAsia" w:ascii="宋体" w:hAnsi="宋体" w:eastAsia="宋体" w:cs="宋体"/>
              <w:bCs/>
              <w:i w:val="0"/>
              <w:iCs w:val="0"/>
              <w:caps w:val="0"/>
              <w:spacing w:val="0"/>
              <w:kern w:val="0"/>
              <w:sz w:val="28"/>
              <w:szCs w:val="28"/>
              <w:shd w:val="clear" w:fill="FFFFFF"/>
              <w:lang w:val="en-US" w:eastAsia="zh-CN" w:bidi="ar"/>
            </w:rPr>
            <w:t>九、国有资本经营预算支出决算情况说明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_Toc24209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_Toc19038 </w:instrText>
          </w:r>
          <w:r>
            <w:rPr>
              <w:rFonts w:hint="eastAsia" w:ascii="宋体" w:hAnsi="宋体" w:eastAsia="宋体" w:cs="宋体"/>
              <w:sz w:val="28"/>
              <w:szCs w:val="28"/>
              <w:lang w:val="en-US" w:eastAsia="zh-CN"/>
            </w:rPr>
            <w:fldChar w:fldCharType="separate"/>
          </w:r>
          <w:r>
            <w:rPr>
              <w:rFonts w:hint="eastAsia" w:ascii="宋体" w:hAnsi="宋体" w:eastAsia="宋体" w:cs="宋体"/>
              <w:bCs/>
              <w:i w:val="0"/>
              <w:iCs w:val="0"/>
              <w:caps w:val="0"/>
              <w:spacing w:val="0"/>
              <w:kern w:val="0"/>
              <w:sz w:val="28"/>
              <w:szCs w:val="28"/>
              <w:shd w:val="clear" w:fill="FFFFFF"/>
              <w:lang w:val="en-US" w:eastAsia="zh-CN" w:bidi="ar"/>
            </w:rPr>
            <w:t>十、预算绩效管理情况。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_Toc19038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_Toc17791 </w:instrText>
          </w:r>
          <w:r>
            <w:rPr>
              <w:rFonts w:hint="eastAsia" w:ascii="宋体" w:hAnsi="宋体" w:eastAsia="宋体" w:cs="宋体"/>
              <w:sz w:val="28"/>
              <w:szCs w:val="28"/>
              <w:lang w:val="en-US" w:eastAsia="zh-CN"/>
            </w:rPr>
            <w:fldChar w:fldCharType="separate"/>
          </w:r>
          <w:r>
            <w:rPr>
              <w:rFonts w:hint="eastAsia" w:ascii="宋体" w:hAnsi="宋体" w:eastAsia="宋体" w:cs="宋体"/>
              <w:i w:val="0"/>
              <w:iCs w:val="0"/>
              <w:caps w:val="0"/>
              <w:spacing w:val="0"/>
              <w:kern w:val="0"/>
              <w:sz w:val="28"/>
              <w:szCs w:val="28"/>
              <w:shd w:val="clear" w:fill="FFFFFF"/>
              <w:lang w:val="en-US" w:eastAsia="zh-CN" w:bidi="ar"/>
            </w:rPr>
            <w:t>本部门按要求对2019年部门整体支出未开展绩效自评。</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_Toc17791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_Toc9135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eastAsia="zh-CN"/>
            </w:rPr>
            <w:t>十一</w:t>
          </w:r>
          <w:r>
            <w:rPr>
              <w:rFonts w:hint="eastAsia" w:ascii="宋体" w:hAnsi="宋体" w:eastAsia="宋体" w:cs="宋体"/>
              <w:sz w:val="28"/>
              <w:szCs w:val="28"/>
            </w:rPr>
            <w:t>、其他重要事项的情况说明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_Toc9135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_Toc14546 </w:instrText>
          </w:r>
          <w:r>
            <w:rPr>
              <w:rFonts w:hint="eastAsia" w:ascii="宋体" w:hAnsi="宋体" w:eastAsia="宋体" w:cs="宋体"/>
              <w:sz w:val="28"/>
              <w:szCs w:val="28"/>
              <w:lang w:val="en-US" w:eastAsia="zh-CN"/>
            </w:rPr>
            <w:fldChar w:fldCharType="separate"/>
          </w:r>
          <w:r>
            <w:rPr>
              <w:rFonts w:hint="eastAsia" w:ascii="宋体" w:hAnsi="宋体" w:eastAsia="宋体" w:cs="宋体"/>
              <w:b/>
              <w:bCs/>
              <w:sz w:val="28"/>
              <w:szCs w:val="28"/>
              <w:lang w:eastAsia="zh-CN"/>
            </w:rPr>
            <w:t>第三部分</w:t>
          </w:r>
          <w:r>
            <w:rPr>
              <w:rFonts w:hint="eastAsia" w:ascii="宋体" w:hAnsi="宋体" w:eastAsia="宋体" w:cs="宋体"/>
              <w:bCs w:val="0"/>
              <w:sz w:val="28"/>
              <w:szCs w:val="28"/>
              <w:lang w:val="en-US" w:eastAsia="zh-CN"/>
            </w:rPr>
            <w:t xml:space="preserve"> </w:t>
          </w:r>
          <w:r>
            <w:rPr>
              <w:rFonts w:hint="eastAsia" w:ascii="宋体" w:hAnsi="宋体" w:eastAsia="宋体" w:cs="宋体"/>
              <w:bCs w:val="0"/>
              <w:sz w:val="28"/>
              <w:szCs w:val="28"/>
              <w:lang w:eastAsia="zh-CN"/>
            </w:rPr>
            <w:t>名词注解</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_Toc14546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_Toc20229 </w:instrText>
          </w:r>
          <w:r>
            <w:rPr>
              <w:rFonts w:hint="eastAsia" w:ascii="宋体" w:hAnsi="宋体" w:eastAsia="宋体" w:cs="宋体"/>
              <w:sz w:val="28"/>
              <w:szCs w:val="28"/>
              <w:lang w:val="en-US" w:eastAsia="zh-CN"/>
            </w:rPr>
            <w:fldChar w:fldCharType="separate"/>
          </w:r>
          <w:r>
            <w:rPr>
              <w:rFonts w:hint="eastAsia" w:ascii="宋体" w:hAnsi="宋体" w:eastAsia="宋体" w:cs="宋体"/>
              <w:b/>
              <w:bCs/>
              <w:sz w:val="28"/>
              <w:szCs w:val="28"/>
            </w:rPr>
            <w:t>第四部分</w:t>
          </w:r>
          <w:r>
            <w:rPr>
              <w:rFonts w:hint="eastAsia" w:ascii="宋体" w:hAnsi="宋体" w:eastAsia="宋体" w:cs="宋体"/>
              <w:bCs w:val="0"/>
              <w:sz w:val="28"/>
              <w:szCs w:val="28"/>
            </w:rPr>
            <w:t xml:space="preserve"> 附表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_Toc20229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fldChar w:fldCharType="end"/>
          </w:r>
        </w:p>
        <w:p>
          <w:pPr>
            <w:bidi w:val="0"/>
            <w:rPr>
              <w:rFonts w:hint="eastAsia" w:ascii="Times New Roman" w:hAnsi="Times New Roman" w:eastAsia="宋体" w:cs="Times New Roman"/>
              <w:kern w:val="2"/>
              <w:sz w:val="21"/>
              <w:szCs w:val="24"/>
              <w:lang w:val="en-US" w:eastAsia="zh-CN" w:bidi="ar-SA"/>
            </w:rPr>
          </w:pPr>
          <w:r>
            <w:rPr>
              <w:rFonts w:hint="eastAsia" w:ascii="宋体" w:hAnsi="宋体" w:eastAsia="宋体" w:cs="宋体"/>
              <w:sz w:val="28"/>
              <w:szCs w:val="28"/>
              <w:lang w:val="en-US" w:eastAsia="zh-CN"/>
            </w:rPr>
            <w:fldChar w:fldCharType="end"/>
          </w:r>
        </w:p>
      </w:sdtContent>
    </w:sdt>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tabs>
          <w:tab w:val="left" w:pos="7168"/>
        </w:tabs>
        <w:bidi w:val="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val="en-US" w:eastAsia="zh-CN"/>
        </w:rPr>
        <w:tab/>
      </w:r>
    </w:p>
    <w:p>
      <w:pPr>
        <w:bidi w:val="0"/>
        <w:rPr>
          <w:rFonts w:hint="eastAsia"/>
          <w:lang w:val="en-US" w:eastAsia="zh-CN"/>
        </w:rPr>
      </w:pPr>
      <w:bookmarkStart w:id="52" w:name="_GoBack"/>
      <w:bookmarkEnd w:id="52"/>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000000"/>
          <w:sz w:val="44"/>
          <w:szCs w:val="44"/>
          <w:lang w:eastAsia="zh-CN"/>
        </w:rPr>
      </w:pPr>
      <w:r>
        <w:rPr>
          <w:rFonts w:hint="eastAsia" w:ascii="黑体" w:hAnsi="黑体" w:eastAsia="黑体" w:cs="黑体"/>
          <w:b w:val="0"/>
          <w:bCs/>
          <w:color w:val="000000"/>
          <w:sz w:val="44"/>
          <w:szCs w:val="44"/>
          <w:lang w:eastAsia="zh-CN"/>
        </w:rPr>
        <w:t>第一部分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黑体" w:eastAsia="黑体"/>
          <w:color w:val="000000"/>
          <w:sz w:val="32"/>
          <w:szCs w:val="32"/>
        </w:rPr>
      </w:pPr>
      <w:bookmarkStart w:id="19" w:name="_Toc10600"/>
      <w:bookmarkStart w:id="20" w:name="_Toc13661"/>
      <w:r>
        <w:rPr>
          <w:rFonts w:hint="eastAsia" w:ascii="黑体" w:eastAsia="黑体"/>
          <w:color w:val="000000"/>
          <w:sz w:val="32"/>
          <w:szCs w:val="32"/>
        </w:rPr>
        <w:t>一、基本职能及主要工作</w:t>
      </w:r>
      <w:bookmarkEnd w:id="19"/>
      <w:bookmarkEnd w:id="20"/>
    </w:p>
    <w:p>
      <w:pPr>
        <w:pStyle w:val="2"/>
        <w:adjustRightInd w:val="0"/>
        <w:snapToGrid w:val="0"/>
        <w:spacing w:line="600" w:lineRule="exact"/>
        <w:ind w:firstLine="672" w:firstLineChars="210"/>
        <w:outlineLvl w:val="1"/>
        <w:rPr>
          <w:rFonts w:ascii="方正仿宋简体" w:hAnsi="方正仿宋简体" w:eastAsia="方正仿宋简体" w:cs="方正仿宋简体"/>
          <w:color w:val="000000"/>
          <w:sz w:val="32"/>
          <w:szCs w:val="32"/>
        </w:rPr>
      </w:pPr>
      <w:bookmarkStart w:id="21" w:name="_Toc22852"/>
      <w:r>
        <w:rPr>
          <w:rFonts w:hint="eastAsia" w:ascii="方正仿宋简体" w:hAnsi="方正仿宋简体" w:eastAsia="方正仿宋简体" w:cs="方正仿宋简体"/>
          <w:color w:val="000000"/>
          <w:sz w:val="32"/>
          <w:szCs w:val="32"/>
        </w:rPr>
        <w:t>（一）主要职能</w:t>
      </w:r>
      <w:bookmarkEnd w:id="21"/>
    </w:p>
    <w:p>
      <w:pPr>
        <w:pStyle w:val="2"/>
        <w:adjustRightInd w:val="0"/>
        <w:snapToGrid w:val="0"/>
        <w:spacing w:line="600" w:lineRule="exact"/>
        <w:ind w:firstLine="672" w:firstLineChars="210"/>
        <w:rPr>
          <w:bCs/>
          <w:color w:val="000000"/>
          <w:sz w:val="32"/>
          <w:szCs w:val="32"/>
        </w:rPr>
      </w:pPr>
      <w:r>
        <w:rPr>
          <w:rFonts w:hint="eastAsia" w:ascii="方正仿宋简体" w:hAnsi="方正仿宋简体" w:eastAsia="方正仿宋简体" w:cs="方正仿宋简体"/>
          <w:color w:val="000000"/>
          <w:sz w:val="32"/>
          <w:szCs w:val="32"/>
        </w:rPr>
        <w:t>开江县就业服务管理局主管全县就业再就业、失业保险、就业培训</w:t>
      </w:r>
      <w:r>
        <w:rPr>
          <w:rFonts w:hint="eastAsia" w:ascii="方正仿宋简体" w:hAnsi="方正仿宋简体" w:eastAsia="方正仿宋简体" w:cs="方正仿宋简体"/>
          <w:color w:val="000000"/>
          <w:sz w:val="32"/>
          <w:szCs w:val="32"/>
          <w:lang w:eastAsia="zh-CN"/>
        </w:rPr>
        <w:t>、</w:t>
      </w:r>
      <w:r>
        <w:rPr>
          <w:rFonts w:hint="eastAsia" w:ascii="仿宋" w:hAnsi="仿宋" w:eastAsia="仿宋"/>
          <w:sz w:val="32"/>
          <w:szCs w:val="32"/>
        </w:rPr>
        <w:t>小额担保贷款、创业补贴</w:t>
      </w:r>
      <w:r>
        <w:rPr>
          <w:rFonts w:hint="eastAsia" w:ascii="仿宋" w:hAnsi="仿宋" w:eastAsia="仿宋"/>
          <w:sz w:val="32"/>
          <w:szCs w:val="32"/>
          <w:lang w:eastAsia="zh-CN"/>
        </w:rPr>
        <w:t>、促进高校毕业生创业就业</w:t>
      </w:r>
      <w:r>
        <w:rPr>
          <w:rFonts w:hint="eastAsia" w:ascii="方正仿宋简体" w:hAnsi="方正仿宋简体" w:eastAsia="方正仿宋简体" w:cs="方正仿宋简体"/>
          <w:color w:val="000000"/>
          <w:sz w:val="32"/>
          <w:szCs w:val="32"/>
        </w:rPr>
        <w:t>等工作，以及失业保险基金和就业资金的管理。</w:t>
      </w:r>
    </w:p>
    <w:p>
      <w:pPr>
        <w:pStyle w:val="2"/>
        <w:adjustRightInd w:val="0"/>
        <w:snapToGrid w:val="0"/>
        <w:spacing w:line="600" w:lineRule="exact"/>
        <w:ind w:firstLine="672" w:firstLineChars="210"/>
        <w:outlineLvl w:val="1"/>
        <w:rPr>
          <w:bCs/>
          <w:color w:val="000000"/>
          <w:sz w:val="32"/>
          <w:szCs w:val="32"/>
        </w:rPr>
      </w:pPr>
      <w:bookmarkStart w:id="22" w:name="_Toc2590"/>
      <w:r>
        <w:rPr>
          <w:rFonts w:hint="eastAsia"/>
          <w:bCs/>
          <w:color w:val="000000"/>
          <w:sz w:val="32"/>
          <w:szCs w:val="32"/>
        </w:rPr>
        <w:t>（二）201</w:t>
      </w:r>
      <w:r>
        <w:rPr>
          <w:rFonts w:hint="eastAsia"/>
          <w:bCs/>
          <w:color w:val="000000"/>
          <w:sz w:val="32"/>
          <w:szCs w:val="32"/>
          <w:lang w:val="en-US" w:eastAsia="zh-CN"/>
        </w:rPr>
        <w:t>9</w:t>
      </w:r>
      <w:r>
        <w:rPr>
          <w:rFonts w:hint="eastAsia"/>
          <w:bCs/>
          <w:color w:val="000000"/>
          <w:sz w:val="32"/>
          <w:szCs w:val="32"/>
        </w:rPr>
        <w:t>年重点工作完成情况</w:t>
      </w:r>
      <w:bookmarkEnd w:id="22"/>
    </w:p>
    <w:p>
      <w:pPr>
        <w:autoSpaceDE w:val="0"/>
        <w:spacing w:line="578" w:lineRule="exact"/>
        <w:ind w:firstLine="640" w:firstLineChars="200"/>
        <w:rPr>
          <w:rFonts w:ascii="仿宋" w:hAnsi="仿宋" w:eastAsia="仿宋"/>
          <w:sz w:val="32"/>
          <w:szCs w:val="32"/>
        </w:rPr>
      </w:pPr>
      <w:r>
        <w:rPr>
          <w:rFonts w:hint="eastAsia" w:ascii="仿宋" w:hAnsi="仿宋" w:eastAsia="仿宋"/>
          <w:bCs/>
          <w:color w:val="000000"/>
          <w:sz w:val="32"/>
          <w:szCs w:val="32"/>
        </w:rPr>
        <w:t>201</w:t>
      </w:r>
      <w:r>
        <w:rPr>
          <w:rFonts w:hint="eastAsia" w:ascii="仿宋" w:hAnsi="仿宋" w:eastAsia="仿宋"/>
          <w:bCs/>
          <w:color w:val="000000"/>
          <w:sz w:val="32"/>
          <w:szCs w:val="32"/>
          <w:lang w:val="en-US" w:eastAsia="zh-CN"/>
        </w:rPr>
        <w:t>9</w:t>
      </w:r>
      <w:r>
        <w:rPr>
          <w:rFonts w:hint="eastAsia" w:ascii="仿宋" w:hAnsi="仿宋" w:eastAsia="仿宋"/>
          <w:bCs/>
          <w:color w:val="000000"/>
          <w:sz w:val="32"/>
          <w:szCs w:val="32"/>
        </w:rPr>
        <w:t>年我局</w:t>
      </w:r>
      <w:r>
        <w:rPr>
          <w:rFonts w:hint="eastAsia" w:ascii="仿宋" w:hAnsi="仿宋" w:eastAsia="仿宋"/>
          <w:sz w:val="32"/>
          <w:szCs w:val="32"/>
        </w:rPr>
        <w:t xml:space="preserve">完成城镇新增就业0.5952万人，完成市目标任务0.43万人的138.42%；城镇失业人员再就业0.1136万人，完成市目标任务0.09万人的126.22%；就业困难对象再就业0.0497万人，完成市目标任务0.025万人的198.80%；城镇登记失业率控制在4.2%以内。青年劳动者技能培训951人，完成市目标任务950人的100.1%；创业培训350人，完成市目标任务350人的100%。 </w:t>
      </w:r>
    </w:p>
    <w:p>
      <w:pPr>
        <w:spacing w:line="600" w:lineRule="exact"/>
        <w:ind w:firstLine="640" w:firstLineChars="200"/>
        <w:outlineLvl w:val="0"/>
        <w:rPr>
          <w:rFonts w:ascii="黑体" w:eastAsia="黑体"/>
          <w:color w:val="000000"/>
          <w:sz w:val="32"/>
          <w:szCs w:val="32"/>
        </w:rPr>
      </w:pPr>
      <w:bookmarkStart w:id="23" w:name="_Toc819"/>
      <w:bookmarkStart w:id="24" w:name="_Toc10586"/>
      <w:r>
        <w:rPr>
          <w:rFonts w:hint="eastAsia" w:ascii="黑体" w:eastAsia="黑体"/>
          <w:color w:val="000000"/>
          <w:sz w:val="32"/>
          <w:szCs w:val="32"/>
        </w:rPr>
        <w:t>二、部门概况</w:t>
      </w:r>
      <w:bookmarkEnd w:id="23"/>
      <w:bookmarkEnd w:id="24"/>
    </w:p>
    <w:p>
      <w:pPr>
        <w:spacing w:line="600" w:lineRule="exact"/>
        <w:ind w:firstLine="640" w:firstLineChars="200"/>
        <w:rPr>
          <w:rFonts w:hint="eastAsia" w:ascii="仿宋_GB2312" w:eastAsia="仿宋_GB2312"/>
          <w:bCs/>
          <w:color w:val="000000"/>
          <w:kern w:val="0"/>
          <w:sz w:val="32"/>
          <w:szCs w:val="32"/>
        </w:rPr>
      </w:pPr>
      <w:r>
        <w:rPr>
          <w:rFonts w:hint="eastAsia" w:ascii="仿宋_GB2312" w:eastAsia="仿宋_GB2312"/>
          <w:bCs/>
          <w:color w:val="000000"/>
          <w:kern w:val="0"/>
          <w:sz w:val="32"/>
          <w:szCs w:val="32"/>
        </w:rPr>
        <w:t>开江县就业服务管理局是一级预算单位，下设办公室、基金财务股、人力资源股、就业指导股、失业保险股、培训股五股一室现有在职19个其中包括自收自支2人，参公管理人员10个，参公工勤7个，退休人员9人。</w:t>
      </w:r>
    </w:p>
    <w:p>
      <w:pPr>
        <w:spacing w:line="600" w:lineRule="exact"/>
        <w:ind w:firstLine="640" w:firstLineChars="200"/>
        <w:rPr>
          <w:rFonts w:hint="eastAsia" w:ascii="仿宋_GB2312" w:eastAsia="仿宋_GB2312"/>
          <w:bCs/>
          <w:color w:val="000000"/>
          <w:kern w:val="0"/>
          <w:sz w:val="32"/>
          <w:szCs w:val="32"/>
        </w:rPr>
      </w:pPr>
    </w:p>
    <w:p>
      <w:pPr>
        <w:spacing w:line="600" w:lineRule="exact"/>
        <w:ind w:firstLine="640" w:firstLineChars="200"/>
        <w:rPr>
          <w:rFonts w:hint="eastAsia" w:ascii="仿宋_GB2312" w:eastAsia="仿宋_GB2312"/>
          <w:bCs/>
          <w:color w:val="000000"/>
          <w:kern w:val="0"/>
          <w:sz w:val="32"/>
          <w:szCs w:val="32"/>
        </w:rPr>
      </w:pPr>
    </w:p>
    <w:p>
      <w:pPr>
        <w:spacing w:line="600" w:lineRule="exact"/>
        <w:ind w:firstLine="883" w:firstLineChars="200"/>
        <w:jc w:val="center"/>
        <w:rPr>
          <w:rFonts w:hint="eastAsia" w:ascii="宋体" w:hAnsi="宋体" w:eastAsia="宋体" w:cs="宋体"/>
          <w:b/>
          <w:bCs w:val="0"/>
          <w:color w:val="000000"/>
          <w:kern w:val="0"/>
          <w:sz w:val="44"/>
          <w:szCs w:val="44"/>
          <w:lang w:eastAsia="zh-CN"/>
        </w:rPr>
      </w:pPr>
    </w:p>
    <w:p>
      <w:pPr>
        <w:spacing w:line="600" w:lineRule="exact"/>
        <w:ind w:firstLine="880" w:firstLineChars="200"/>
        <w:jc w:val="center"/>
        <w:rPr>
          <w:rFonts w:hint="eastAsia" w:ascii="黑体" w:hAnsi="黑体" w:eastAsia="黑体" w:cs="黑体"/>
          <w:b w:val="0"/>
          <w:bCs/>
          <w:color w:val="000000"/>
          <w:kern w:val="0"/>
          <w:sz w:val="44"/>
          <w:szCs w:val="44"/>
          <w:lang w:eastAsia="zh-CN"/>
        </w:rPr>
      </w:pPr>
      <w:r>
        <w:rPr>
          <w:rFonts w:hint="eastAsia" w:ascii="黑体" w:hAnsi="黑体" w:eastAsia="黑体" w:cs="黑体"/>
          <w:b w:val="0"/>
          <w:bCs/>
          <w:color w:val="000000"/>
          <w:kern w:val="0"/>
          <w:sz w:val="44"/>
          <w:szCs w:val="44"/>
          <w:lang w:eastAsia="zh-CN"/>
        </w:rPr>
        <w:t>第二部分</w:t>
      </w:r>
    </w:p>
    <w:p>
      <w:pPr>
        <w:spacing w:line="600" w:lineRule="exact"/>
        <w:ind w:firstLine="883" w:firstLineChars="200"/>
        <w:jc w:val="center"/>
        <w:rPr>
          <w:rFonts w:hint="eastAsia" w:ascii="宋体" w:hAnsi="宋体" w:eastAsia="宋体" w:cs="宋体"/>
          <w:b/>
          <w:bCs w:val="0"/>
          <w:color w:val="000000"/>
          <w:kern w:val="0"/>
          <w:sz w:val="44"/>
          <w:szCs w:val="44"/>
          <w:lang w:eastAsia="zh-CN"/>
        </w:rPr>
      </w:pPr>
    </w:p>
    <w:p>
      <w:pPr>
        <w:spacing w:line="600" w:lineRule="exact"/>
        <w:ind w:firstLine="640" w:firstLineChars="200"/>
        <w:outlineLvl w:val="0"/>
        <w:rPr>
          <w:rFonts w:hint="eastAsia" w:ascii="黑体" w:hAnsi="黑体" w:eastAsia="黑体"/>
          <w:color w:val="000000"/>
          <w:sz w:val="32"/>
          <w:szCs w:val="32"/>
        </w:rPr>
      </w:pPr>
      <w:bookmarkStart w:id="25" w:name="_Toc20023"/>
      <w:bookmarkStart w:id="26" w:name="_Toc31046"/>
      <w:r>
        <w:rPr>
          <w:rFonts w:hint="eastAsia" w:ascii="黑体" w:hAnsi="黑体" w:eastAsia="黑体"/>
          <w:color w:val="000000"/>
          <w:sz w:val="32"/>
          <w:szCs w:val="32"/>
        </w:rPr>
        <w:t>一、收入支出决算总体情况说明</w:t>
      </w:r>
      <w:bookmarkEnd w:id="25"/>
      <w:bookmarkEnd w:id="26"/>
    </w:p>
    <w:p>
      <w:pPr>
        <w:spacing w:line="600" w:lineRule="exact"/>
        <w:ind w:firstLine="640" w:firstLineChars="200"/>
        <w:jc w:val="left"/>
        <w:rPr>
          <w:rFonts w:hint="eastAsia" w:ascii="仿宋_GB2312" w:eastAsia="仿宋"/>
          <w:bCs/>
          <w:color w:val="000000"/>
          <w:kern w:val="0"/>
          <w:sz w:val="32"/>
          <w:szCs w:val="32"/>
          <w:lang w:val="en-US" w:eastAsia="zh-CN"/>
        </w:rPr>
      </w:pP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年度收、支总计</w:t>
      </w:r>
      <w:r>
        <w:rPr>
          <w:rFonts w:hint="eastAsia" w:ascii="仿宋" w:hAnsi="仿宋" w:eastAsia="仿宋" w:cs="仿宋"/>
          <w:color w:val="000000"/>
          <w:sz w:val="32"/>
          <w:szCs w:val="32"/>
          <w:lang w:val="en-US" w:eastAsia="zh-CN"/>
        </w:rPr>
        <w:t>1505.87</w:t>
      </w:r>
      <w:r>
        <w:rPr>
          <w:rFonts w:hint="eastAsia" w:ascii="仿宋" w:hAnsi="仿宋" w:eastAsia="仿宋" w:cs="仿宋"/>
          <w:color w:val="000000"/>
          <w:sz w:val="32"/>
          <w:szCs w:val="32"/>
        </w:rPr>
        <w:t>万元。与201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年相比，收、支总计各增加</w:t>
      </w:r>
      <w:r>
        <w:rPr>
          <w:rFonts w:hint="eastAsia" w:ascii="仿宋" w:hAnsi="仿宋" w:eastAsia="仿宋" w:cs="仿宋"/>
          <w:i w:val="0"/>
          <w:iCs w:val="0"/>
          <w:caps w:val="0"/>
          <w:color w:val="000000"/>
          <w:spacing w:val="0"/>
          <w:sz w:val="32"/>
          <w:szCs w:val="32"/>
          <w:shd w:val="clear" w:fill="FFFFFF"/>
          <w:lang w:val="en-US" w:eastAsia="zh-CN"/>
        </w:rPr>
        <w:t>329.31</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比上年度增加</w:t>
      </w:r>
      <w:r>
        <w:rPr>
          <w:rFonts w:hint="eastAsia" w:ascii="仿宋" w:hAnsi="仿宋" w:eastAsia="仿宋" w:cs="仿宋"/>
          <w:color w:val="000000"/>
          <w:sz w:val="32"/>
          <w:szCs w:val="32"/>
          <w:lang w:val="en-US" w:eastAsia="zh-CN"/>
        </w:rPr>
        <w:t>27.99</w:t>
      </w:r>
      <w:r>
        <w:rPr>
          <w:rFonts w:hint="eastAsia" w:ascii="仿宋" w:hAnsi="仿宋" w:eastAsia="仿宋" w:cs="仿宋"/>
          <w:color w:val="000000"/>
          <w:sz w:val="32"/>
          <w:szCs w:val="32"/>
        </w:rPr>
        <w:t>%，主要是由于职业培训补贴、社会保险补贴、公益性岗位补贴、职业技能鉴定补贴、就业见习补贴、其他就业补助支出等增加</w:t>
      </w:r>
      <w:r>
        <w:rPr>
          <w:rFonts w:hint="eastAsia" w:ascii="仿宋" w:hAnsi="仿宋" w:eastAsia="仿宋" w:cs="仿宋"/>
          <w:color w:val="000000"/>
          <w:sz w:val="32"/>
          <w:szCs w:val="32"/>
          <w:lang w:eastAsia="zh-CN"/>
        </w:rPr>
        <w:t>。</w:t>
      </w:r>
    </w:p>
    <w:p>
      <w:r>
        <w:rPr>
          <w:rFonts w:hint="eastAsia" w:ascii="仿宋" w:hAnsi="仿宋" w:eastAsia="仿宋" w:cs="仿宋"/>
          <w:i w:val="0"/>
          <w:iCs w:val="0"/>
          <w:caps w:val="0"/>
          <w:color w:val="000000"/>
          <w:spacing w:val="0"/>
          <w:sz w:val="32"/>
          <w:szCs w:val="32"/>
          <w:shd w:val="clear" w:fill="FFFFFF"/>
          <w:lang w:eastAsia="zh-CN"/>
        </w:rPr>
        <w:drawing>
          <wp:anchor distT="0" distB="0" distL="114300" distR="114300" simplePos="0" relativeHeight="251659264" behindDoc="0" locked="0" layoutInCell="1" allowOverlap="1">
            <wp:simplePos x="0" y="0"/>
            <wp:positionH relativeFrom="column">
              <wp:posOffset>318770</wp:posOffset>
            </wp:positionH>
            <wp:positionV relativeFrom="paragraph">
              <wp:posOffset>75565</wp:posOffset>
            </wp:positionV>
            <wp:extent cx="4480560" cy="2734945"/>
            <wp:effectExtent l="4445" t="5080" r="10795" b="2222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spacing w:line="600" w:lineRule="exact"/>
        <w:ind w:firstLine="640" w:firstLineChars="200"/>
        <w:outlineLvl w:val="0"/>
        <w:rPr>
          <w:rFonts w:hint="eastAsia" w:ascii="黑体" w:hAnsi="黑体" w:eastAsia="黑体"/>
          <w:color w:val="000000"/>
          <w:sz w:val="32"/>
          <w:szCs w:val="32"/>
        </w:rPr>
      </w:pPr>
      <w:bookmarkStart w:id="27" w:name="_Toc9606"/>
      <w:r>
        <w:rPr>
          <w:rFonts w:hint="eastAsia" w:ascii="黑体" w:hAnsi="黑体" w:eastAsia="黑体"/>
          <w:color w:val="000000"/>
          <w:sz w:val="32"/>
          <w:szCs w:val="32"/>
        </w:rPr>
        <w:t>二、收入决算情况说明</w:t>
      </w:r>
      <w:bookmarkEnd w:id="27"/>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年本局本年收入合计</w:t>
      </w:r>
      <w:r>
        <w:rPr>
          <w:rFonts w:hint="eastAsia" w:ascii="仿宋" w:hAnsi="仿宋" w:eastAsia="仿宋"/>
          <w:color w:val="000000"/>
          <w:sz w:val="32"/>
          <w:szCs w:val="32"/>
          <w:lang w:val="en-US" w:eastAsia="zh-CN"/>
        </w:rPr>
        <w:t>1505.87</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1505.87</w:t>
      </w:r>
      <w:r>
        <w:rPr>
          <w:rFonts w:hint="eastAsia" w:ascii="仿宋" w:hAnsi="仿宋" w:eastAsia="仿宋"/>
          <w:color w:val="000000"/>
          <w:sz w:val="32"/>
          <w:szCs w:val="32"/>
        </w:rPr>
        <w:t>万元，占100%；</w:t>
      </w:r>
    </w:p>
    <w:p>
      <w:pPr>
        <w:spacing w:line="600" w:lineRule="exact"/>
        <w:outlineLvl w:val="9"/>
        <w:rPr>
          <w:rFonts w:hint="eastAsia" w:ascii="黑体" w:hAnsi="黑体" w:eastAsia="黑体"/>
          <w:color w:val="000000"/>
          <w:sz w:val="32"/>
          <w:szCs w:val="32"/>
          <w:lang w:eastAsia="zh-CN"/>
        </w:rPr>
      </w:pPr>
      <w:bookmarkStart w:id="28" w:name="_Toc32466"/>
      <w:r>
        <w:rPr>
          <w:rFonts w:hint="eastAsia" w:ascii="仿宋" w:hAnsi="仿宋" w:eastAsia="仿宋"/>
          <w:color w:val="000000"/>
          <w:sz w:val="32"/>
          <w:szCs w:val="32"/>
          <w:lang w:eastAsia="zh-CN"/>
        </w:rPr>
        <w:drawing>
          <wp:anchor distT="0" distB="0" distL="114300" distR="114300" simplePos="0" relativeHeight="251660288" behindDoc="0" locked="0" layoutInCell="1" allowOverlap="1">
            <wp:simplePos x="0" y="0"/>
            <wp:positionH relativeFrom="column">
              <wp:posOffset>429895</wp:posOffset>
            </wp:positionH>
            <wp:positionV relativeFrom="paragraph">
              <wp:posOffset>-119380</wp:posOffset>
            </wp:positionV>
            <wp:extent cx="4357370" cy="3067050"/>
            <wp:effectExtent l="4445" t="5080" r="19685" b="1397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outlineLvl w:val="0"/>
        <w:rPr>
          <w:rFonts w:hint="eastAsia" w:ascii="仿宋" w:hAnsi="仿宋" w:eastAsia="仿宋"/>
          <w:color w:val="000000"/>
          <w:sz w:val="32"/>
          <w:szCs w:val="32"/>
        </w:rPr>
      </w:pPr>
      <w:bookmarkStart w:id="29" w:name="_Toc11692"/>
      <w:r>
        <w:rPr>
          <w:rFonts w:hint="eastAsia" w:ascii="黑体" w:hAnsi="黑体" w:eastAsia="黑体"/>
          <w:color w:val="000000"/>
          <w:sz w:val="32"/>
          <w:szCs w:val="32"/>
          <w:lang w:eastAsia="zh-CN"/>
        </w:rPr>
        <w:t>三、</w:t>
      </w:r>
      <w:r>
        <w:rPr>
          <w:rFonts w:hint="eastAsia" w:ascii="黑体" w:hAnsi="黑体" w:eastAsia="黑体"/>
          <w:color w:val="000000"/>
          <w:sz w:val="32"/>
          <w:szCs w:val="32"/>
        </w:rPr>
        <w:t>支出决算情况说明</w:t>
      </w:r>
      <w:bookmarkEnd w:id="28"/>
      <w:bookmarkEnd w:id="29"/>
    </w:p>
    <w:p>
      <w:pPr>
        <w:numPr>
          <w:ilvl w:val="0"/>
          <w:numId w:val="0"/>
        </w:numPr>
        <w:spacing w:line="600" w:lineRule="exact"/>
        <w:ind w:firstLine="640"/>
        <w:rPr>
          <w:rFonts w:hint="eastAsia" w:ascii="仿宋" w:hAnsi="仿宋" w:eastAsia="仿宋"/>
          <w:color w:val="000000"/>
          <w:sz w:val="32"/>
          <w:szCs w:val="32"/>
          <w:lang w:val="en-US" w:eastAsia="zh-CN"/>
        </w:rPr>
      </w:pPr>
      <w:r>
        <w:rPr>
          <w:rFonts w:hint="default" w:ascii="黑体" w:hAnsi="黑体" w:eastAsia="黑体"/>
          <w:color w:val="000000"/>
          <w:sz w:val="32"/>
          <w:szCs w:val="32"/>
          <w:lang w:val="en-US" w:eastAsia="zh-CN"/>
        </w:rPr>
        <w:drawing>
          <wp:anchor distT="0" distB="0" distL="114300" distR="114300" simplePos="0" relativeHeight="251661312" behindDoc="0" locked="0" layoutInCell="1" allowOverlap="1">
            <wp:simplePos x="0" y="0"/>
            <wp:positionH relativeFrom="column">
              <wp:posOffset>191770</wp:posOffset>
            </wp:positionH>
            <wp:positionV relativeFrom="page">
              <wp:posOffset>6633210</wp:posOffset>
            </wp:positionV>
            <wp:extent cx="4747260" cy="3248660"/>
            <wp:effectExtent l="4445" t="4445" r="10795" b="2349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000000"/>
          <w:sz w:val="32"/>
          <w:szCs w:val="32"/>
          <w:lang w:val="en-US" w:eastAsia="zh-CN"/>
        </w:rPr>
        <w:t>2019年我局本年支出合计1505.87万元，其中：工资福利支出为163.83万元，占总支出的10.88%，商品和服务支出为844.85万元，占总支出的56.10%，对</w:t>
      </w:r>
      <w:bookmarkStart w:id="30" w:name="OLE_LINK2"/>
      <w:r>
        <w:rPr>
          <w:rFonts w:hint="eastAsia" w:ascii="仿宋" w:hAnsi="仿宋" w:eastAsia="仿宋"/>
          <w:color w:val="000000"/>
          <w:sz w:val="32"/>
          <w:szCs w:val="32"/>
          <w:lang w:val="en-US" w:eastAsia="zh-CN"/>
        </w:rPr>
        <w:t>个人和家庭的补助支出</w:t>
      </w:r>
      <w:bookmarkEnd w:id="30"/>
      <w:r>
        <w:rPr>
          <w:rFonts w:hint="eastAsia" w:ascii="仿宋" w:hAnsi="仿宋" w:eastAsia="仿宋"/>
          <w:color w:val="000000"/>
          <w:sz w:val="32"/>
          <w:szCs w:val="32"/>
          <w:lang w:val="en-US" w:eastAsia="zh-CN"/>
        </w:rPr>
        <w:t>468.32万元，占总支出31.10%。资本性支出28.87万元，占总支出1.92%。</w:t>
      </w:r>
    </w:p>
    <w:p>
      <w:pPr>
        <w:spacing w:line="600" w:lineRule="exact"/>
        <w:ind w:firstLine="640" w:firstLineChars="200"/>
        <w:outlineLvl w:val="0"/>
        <w:rPr>
          <w:rFonts w:hint="eastAsia" w:ascii="黑体" w:hAnsi="黑体" w:eastAsia="黑体"/>
          <w:color w:val="000000"/>
          <w:sz w:val="32"/>
          <w:szCs w:val="32"/>
          <w:lang w:eastAsia="zh-CN"/>
        </w:rPr>
      </w:pPr>
      <w:bookmarkStart w:id="31" w:name="_Toc23222"/>
      <w:bookmarkStart w:id="32" w:name="_Toc3002"/>
      <w:r>
        <w:rPr>
          <w:rFonts w:hint="eastAsia" w:ascii="黑体" w:hAnsi="黑体" w:eastAsia="黑体"/>
          <w:color w:val="000000"/>
          <w:sz w:val="32"/>
          <w:szCs w:val="32"/>
        </w:rPr>
        <w:t>四、财政拨款收入支出决算总体情况说明</w:t>
      </w:r>
      <w:bookmarkEnd w:id="31"/>
      <w:bookmarkEnd w:id="32"/>
    </w:p>
    <w:p>
      <w:pPr>
        <w:spacing w:line="600" w:lineRule="exact"/>
        <w:ind w:firstLine="640" w:firstLineChars="200"/>
        <w:jc w:val="left"/>
        <w:rPr>
          <w:rFonts w:hint="eastAsia" w:ascii="仿宋_GB2312" w:eastAsia="仿宋"/>
          <w:bCs/>
          <w:color w:val="000000"/>
          <w:kern w:val="0"/>
          <w:sz w:val="32"/>
          <w:szCs w:val="32"/>
          <w:lang w:val="en-US" w:eastAsia="zh-CN"/>
        </w:rPr>
      </w:pP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年度收、支总计</w:t>
      </w:r>
      <w:r>
        <w:rPr>
          <w:rFonts w:hint="eastAsia" w:ascii="仿宋" w:hAnsi="仿宋" w:eastAsia="仿宋" w:cs="仿宋"/>
          <w:color w:val="000000"/>
          <w:sz w:val="32"/>
          <w:szCs w:val="32"/>
          <w:lang w:val="en-US" w:eastAsia="zh-CN"/>
        </w:rPr>
        <w:t>1505.87</w:t>
      </w:r>
      <w:r>
        <w:rPr>
          <w:rFonts w:hint="eastAsia" w:ascii="仿宋" w:hAnsi="仿宋" w:eastAsia="仿宋" w:cs="仿宋"/>
          <w:color w:val="000000"/>
          <w:sz w:val="32"/>
          <w:szCs w:val="32"/>
        </w:rPr>
        <w:t>万元。与201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年相比，收、支总计各增加</w:t>
      </w:r>
      <w:r>
        <w:rPr>
          <w:rFonts w:hint="eastAsia" w:ascii="仿宋" w:hAnsi="仿宋" w:eastAsia="仿宋" w:cs="仿宋"/>
          <w:i w:val="0"/>
          <w:iCs w:val="0"/>
          <w:caps w:val="0"/>
          <w:color w:val="000000"/>
          <w:spacing w:val="0"/>
          <w:sz w:val="32"/>
          <w:szCs w:val="32"/>
          <w:shd w:val="clear" w:fill="FFFFFF"/>
          <w:lang w:val="en-US" w:eastAsia="zh-CN"/>
        </w:rPr>
        <w:t>329.31</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比上年度增加</w:t>
      </w:r>
      <w:r>
        <w:rPr>
          <w:rFonts w:hint="eastAsia" w:ascii="仿宋" w:hAnsi="仿宋" w:eastAsia="仿宋" w:cs="仿宋"/>
          <w:color w:val="000000"/>
          <w:sz w:val="32"/>
          <w:szCs w:val="32"/>
          <w:lang w:val="en-US" w:eastAsia="zh-CN"/>
        </w:rPr>
        <w:t>27.99</w:t>
      </w:r>
      <w:r>
        <w:rPr>
          <w:rFonts w:hint="eastAsia" w:ascii="仿宋" w:hAnsi="仿宋" w:eastAsia="仿宋" w:cs="仿宋"/>
          <w:color w:val="000000"/>
          <w:sz w:val="32"/>
          <w:szCs w:val="32"/>
        </w:rPr>
        <w:t>%，主要是由于职业培训补贴、社会保险补贴、公益性岗位补贴、职业技能鉴定补贴、就业见习补贴、其他就业补助支出等增加</w:t>
      </w:r>
      <w:r>
        <w:rPr>
          <w:rFonts w:hint="eastAsia" w:ascii="仿宋" w:hAnsi="仿宋" w:eastAsia="仿宋" w:cs="仿宋"/>
          <w:color w:val="000000"/>
          <w:sz w:val="32"/>
          <w:szCs w:val="32"/>
          <w:lang w:eastAsia="zh-CN"/>
        </w:rPr>
        <w:t>。</w:t>
      </w:r>
    </w:p>
    <w:p>
      <w:r>
        <w:rPr>
          <w:rFonts w:hint="eastAsia" w:ascii="仿宋" w:hAnsi="仿宋" w:eastAsia="仿宋" w:cs="仿宋"/>
          <w:i w:val="0"/>
          <w:iCs w:val="0"/>
          <w:caps w:val="0"/>
          <w:color w:val="000000"/>
          <w:spacing w:val="0"/>
          <w:sz w:val="32"/>
          <w:szCs w:val="32"/>
          <w:shd w:val="clear" w:fill="FFFFFF"/>
          <w:lang w:eastAsia="zh-CN"/>
        </w:rPr>
        <w:drawing>
          <wp:anchor distT="0" distB="0" distL="114300" distR="114300" simplePos="0" relativeHeight="251662336" behindDoc="0" locked="0" layoutInCell="1" allowOverlap="1">
            <wp:simplePos x="0" y="0"/>
            <wp:positionH relativeFrom="column">
              <wp:posOffset>318770</wp:posOffset>
            </wp:positionH>
            <wp:positionV relativeFrom="paragraph">
              <wp:posOffset>75565</wp:posOffset>
            </wp:positionV>
            <wp:extent cx="4480560" cy="2734945"/>
            <wp:effectExtent l="4445" t="5080" r="10795" b="2222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numPr>
          <w:ilvl w:val="0"/>
          <w:numId w:val="1"/>
        </w:numPr>
        <w:spacing w:line="600" w:lineRule="exact"/>
        <w:ind w:left="-10" w:leftChars="0" w:firstLine="640" w:firstLineChars="0"/>
        <w:outlineLvl w:val="0"/>
        <w:rPr>
          <w:rFonts w:hint="eastAsia" w:ascii="黑体" w:hAnsi="黑体" w:eastAsia="黑体"/>
          <w:color w:val="000000"/>
          <w:sz w:val="32"/>
          <w:szCs w:val="32"/>
        </w:rPr>
      </w:pPr>
      <w:bookmarkStart w:id="33" w:name="_Toc21979"/>
      <w:bookmarkStart w:id="34" w:name="_Toc30336"/>
      <w:r>
        <w:rPr>
          <w:rFonts w:hint="eastAsia" w:ascii="黑体" w:hAnsi="黑体" w:eastAsia="黑体"/>
          <w:color w:val="000000"/>
          <w:sz w:val="32"/>
          <w:szCs w:val="32"/>
        </w:rPr>
        <w:t>一般公共预算财政拨款支出决算情况说明</w:t>
      </w:r>
      <w:bookmarkEnd w:id="33"/>
      <w:bookmarkEnd w:id="34"/>
    </w:p>
    <w:p>
      <w:pPr>
        <w:numPr>
          <w:ilvl w:val="0"/>
          <w:numId w:val="0"/>
        </w:num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财政拨款支出主要用于保障就业机关正常运转、完成日常工作任务以及上级安排的相关工作。 </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基本支出，是用于保障就业机关正常运转的日常支出，包括基本工资、津贴补贴等人员经费以及办公费、印刷费、水电费、办公设备购置等日常公用经费。</w:t>
      </w:r>
    </w:p>
    <w:p>
      <w:pPr>
        <w:spacing w:line="600" w:lineRule="exact"/>
        <w:ind w:firstLine="640" w:firstLineChars="200"/>
        <w:outlineLvl w:val="1"/>
        <w:rPr>
          <w:rFonts w:hint="eastAsia" w:ascii="仿宋" w:hAnsi="仿宋" w:eastAsia="仿宋"/>
          <w:color w:val="000000"/>
          <w:sz w:val="32"/>
          <w:szCs w:val="32"/>
        </w:rPr>
      </w:pPr>
      <w:bookmarkStart w:id="35" w:name="_Toc28717"/>
      <w:r>
        <w:rPr>
          <w:rFonts w:hint="eastAsia" w:ascii="仿宋" w:hAnsi="仿宋" w:eastAsia="仿宋"/>
          <w:color w:val="000000"/>
          <w:sz w:val="32"/>
          <w:szCs w:val="32"/>
        </w:rPr>
        <w:t>（</w:t>
      </w:r>
      <w:r>
        <w:rPr>
          <w:rFonts w:hint="eastAsia" w:ascii="仿宋" w:hAnsi="仿宋" w:eastAsia="仿宋"/>
          <w:color w:val="000000"/>
          <w:sz w:val="32"/>
          <w:szCs w:val="32"/>
          <w:lang w:eastAsia="zh-CN"/>
        </w:rPr>
        <w:t>一</w:t>
      </w:r>
      <w:r>
        <w:rPr>
          <w:rFonts w:hint="eastAsia" w:ascii="仿宋" w:hAnsi="仿宋" w:eastAsia="仿宋"/>
          <w:color w:val="000000"/>
          <w:sz w:val="32"/>
          <w:szCs w:val="32"/>
        </w:rPr>
        <w:t>）一般公共预算财政拨款支出决算结构情况</w:t>
      </w:r>
      <w:bookmarkEnd w:id="35"/>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1505.87</w:t>
      </w:r>
      <w:r>
        <w:rPr>
          <w:rFonts w:hint="eastAsia" w:ascii="仿宋" w:hAnsi="仿宋" w:eastAsia="仿宋"/>
          <w:color w:val="000000"/>
          <w:sz w:val="32"/>
          <w:szCs w:val="32"/>
        </w:rPr>
        <w:t>万元，主要用于以下方面：社会保障和就业支出</w:t>
      </w:r>
      <w:r>
        <w:rPr>
          <w:rFonts w:hint="eastAsia" w:ascii="仿宋" w:hAnsi="仿宋" w:eastAsia="仿宋"/>
          <w:color w:val="000000"/>
          <w:sz w:val="32"/>
          <w:szCs w:val="32"/>
          <w:lang w:val="en-US" w:eastAsia="zh-CN"/>
        </w:rPr>
        <w:t>1483.48</w:t>
      </w:r>
      <w:r>
        <w:rPr>
          <w:rFonts w:hint="eastAsia" w:ascii="仿宋" w:hAnsi="仿宋" w:eastAsia="仿宋"/>
          <w:color w:val="000000"/>
          <w:sz w:val="32"/>
          <w:szCs w:val="32"/>
        </w:rPr>
        <w:t>万元，占总支出</w:t>
      </w:r>
      <w:r>
        <w:rPr>
          <w:rFonts w:hint="eastAsia" w:ascii="仿宋" w:hAnsi="仿宋" w:eastAsia="仿宋"/>
          <w:color w:val="000000"/>
          <w:sz w:val="32"/>
          <w:szCs w:val="32"/>
          <w:lang w:val="en-US" w:eastAsia="zh-CN"/>
        </w:rPr>
        <w:t>98.51</w:t>
      </w:r>
      <w:r>
        <w:rPr>
          <w:rFonts w:hint="eastAsia" w:ascii="仿宋" w:hAnsi="仿宋" w:eastAsia="仿宋"/>
          <w:color w:val="000000"/>
          <w:sz w:val="32"/>
          <w:szCs w:val="32"/>
        </w:rPr>
        <w:t>%，</w:t>
      </w:r>
      <w:r>
        <w:rPr>
          <w:rFonts w:hint="eastAsia" w:ascii="仿宋" w:hAnsi="仿宋" w:eastAsia="仿宋"/>
          <w:color w:val="000000"/>
          <w:sz w:val="32"/>
          <w:szCs w:val="32"/>
          <w:lang w:eastAsia="zh-CN"/>
        </w:rPr>
        <w:t>卫生健康</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10.47</w:t>
      </w:r>
      <w:r>
        <w:rPr>
          <w:rFonts w:hint="eastAsia" w:ascii="仿宋" w:hAnsi="仿宋" w:eastAsia="仿宋"/>
          <w:color w:val="000000"/>
          <w:sz w:val="32"/>
          <w:szCs w:val="32"/>
        </w:rPr>
        <w:t>万元，占总支出</w:t>
      </w:r>
      <w:r>
        <w:rPr>
          <w:rFonts w:hint="eastAsia" w:ascii="仿宋" w:hAnsi="仿宋" w:eastAsia="仿宋"/>
          <w:color w:val="000000"/>
          <w:sz w:val="32"/>
          <w:szCs w:val="32"/>
          <w:lang w:val="en-US" w:eastAsia="zh-CN"/>
        </w:rPr>
        <w:t>0.70</w:t>
      </w:r>
      <w:r>
        <w:rPr>
          <w:rFonts w:hint="eastAsia" w:ascii="仿宋" w:hAnsi="仿宋" w:eastAsia="仿宋"/>
          <w:color w:val="000000"/>
          <w:sz w:val="32"/>
          <w:szCs w:val="32"/>
        </w:rPr>
        <w:t>%，住房保障支出</w:t>
      </w:r>
      <w:r>
        <w:rPr>
          <w:rFonts w:hint="eastAsia" w:ascii="仿宋" w:hAnsi="仿宋" w:eastAsia="仿宋"/>
          <w:color w:val="000000"/>
          <w:sz w:val="32"/>
          <w:szCs w:val="32"/>
          <w:lang w:val="en-US" w:eastAsia="zh-CN"/>
        </w:rPr>
        <w:t>11.90</w:t>
      </w:r>
      <w:r>
        <w:rPr>
          <w:rFonts w:hint="eastAsia" w:ascii="仿宋" w:hAnsi="仿宋" w:eastAsia="仿宋"/>
          <w:color w:val="000000"/>
          <w:sz w:val="32"/>
          <w:szCs w:val="32"/>
        </w:rPr>
        <w:t>万元，占总支出</w:t>
      </w:r>
      <w:r>
        <w:rPr>
          <w:rFonts w:hint="eastAsia" w:ascii="仿宋" w:hAnsi="仿宋" w:eastAsia="仿宋"/>
          <w:color w:val="000000"/>
          <w:sz w:val="32"/>
          <w:szCs w:val="32"/>
          <w:lang w:val="en-US" w:eastAsia="zh-CN"/>
        </w:rPr>
        <w:t>0.79</w:t>
      </w:r>
      <w:r>
        <w:rPr>
          <w:rFonts w:hint="eastAsia" w:ascii="仿宋" w:hAnsi="仿宋" w:eastAsia="仿宋"/>
          <w:color w:val="000000"/>
          <w:sz w:val="32"/>
          <w:szCs w:val="32"/>
        </w:rPr>
        <w:t>%。</w:t>
      </w:r>
    </w:p>
    <w:p>
      <w:pPr>
        <w:spacing w:line="600" w:lineRule="exact"/>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63360" behindDoc="0" locked="0" layoutInCell="1" allowOverlap="1">
            <wp:simplePos x="0" y="0"/>
            <wp:positionH relativeFrom="column">
              <wp:posOffset>220345</wp:posOffset>
            </wp:positionH>
            <wp:positionV relativeFrom="paragraph">
              <wp:posOffset>280035</wp:posOffset>
            </wp:positionV>
            <wp:extent cx="5022850" cy="3534410"/>
            <wp:effectExtent l="4445" t="4445" r="20955" b="2349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outlineLvl w:val="1"/>
        <w:rPr>
          <w:rFonts w:hint="eastAsia" w:ascii="仿宋" w:hAnsi="仿宋" w:eastAsia="仿宋"/>
          <w:color w:val="000000"/>
          <w:sz w:val="32"/>
          <w:szCs w:val="32"/>
        </w:rPr>
      </w:pPr>
      <w:bookmarkStart w:id="36" w:name="_Toc5481"/>
      <w:r>
        <w:rPr>
          <w:rFonts w:hint="eastAsia" w:ascii="仿宋" w:hAnsi="仿宋" w:eastAsia="仿宋"/>
          <w:color w:val="000000"/>
          <w:sz w:val="32"/>
          <w:szCs w:val="32"/>
        </w:rPr>
        <w:t>（</w:t>
      </w:r>
      <w:r>
        <w:rPr>
          <w:rFonts w:hint="eastAsia" w:ascii="仿宋" w:hAnsi="仿宋" w:eastAsia="仿宋"/>
          <w:color w:val="000000"/>
          <w:sz w:val="32"/>
          <w:szCs w:val="32"/>
          <w:lang w:eastAsia="zh-CN"/>
        </w:rPr>
        <w:t>二</w:t>
      </w:r>
      <w:r>
        <w:rPr>
          <w:rFonts w:hint="eastAsia" w:ascii="仿宋" w:hAnsi="仿宋" w:eastAsia="仿宋"/>
          <w:color w:val="000000"/>
          <w:sz w:val="32"/>
          <w:szCs w:val="32"/>
        </w:rPr>
        <w:t>）一般公共预算财政拨款支出决算具体情况</w:t>
      </w:r>
      <w:bookmarkEnd w:id="36"/>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按支出功能分类主要用于以下方面:</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社会保障和就业支出</w:t>
      </w:r>
      <w:r>
        <w:rPr>
          <w:rFonts w:hint="eastAsia" w:ascii="仿宋" w:hAnsi="仿宋" w:eastAsia="仿宋"/>
          <w:color w:val="000000"/>
          <w:sz w:val="32"/>
          <w:szCs w:val="32"/>
          <w:lang w:val="en-US" w:eastAsia="zh-CN"/>
        </w:rPr>
        <w:t>1483.48</w:t>
      </w:r>
      <w:r>
        <w:rPr>
          <w:rFonts w:hint="eastAsia" w:ascii="仿宋" w:hAnsi="仿宋" w:eastAsia="仿宋"/>
          <w:color w:val="000000"/>
          <w:sz w:val="32"/>
          <w:szCs w:val="32"/>
        </w:rPr>
        <w:t>万元。主要用于：人力资源和社会保障管理事务</w:t>
      </w:r>
      <w:r>
        <w:rPr>
          <w:rFonts w:hint="eastAsia" w:ascii="仿宋" w:hAnsi="仿宋" w:eastAsia="仿宋"/>
          <w:color w:val="000000"/>
          <w:sz w:val="32"/>
          <w:szCs w:val="32"/>
          <w:lang w:val="en-US" w:eastAsia="zh-CN"/>
        </w:rPr>
        <w:t>146.18</w:t>
      </w:r>
      <w:r>
        <w:rPr>
          <w:rFonts w:hint="eastAsia" w:ascii="仿宋" w:hAnsi="仿宋" w:eastAsia="仿宋"/>
          <w:color w:val="000000"/>
          <w:sz w:val="32"/>
          <w:szCs w:val="32"/>
        </w:rPr>
        <w:t>万元，其中：就业管理事务</w:t>
      </w:r>
      <w:r>
        <w:rPr>
          <w:rFonts w:hint="eastAsia" w:ascii="仿宋" w:hAnsi="仿宋" w:eastAsia="仿宋"/>
          <w:color w:val="000000"/>
          <w:sz w:val="32"/>
          <w:szCs w:val="32"/>
          <w:lang w:val="en-US" w:eastAsia="zh-CN"/>
        </w:rPr>
        <w:t>21.82</w:t>
      </w:r>
      <w:r>
        <w:rPr>
          <w:rFonts w:hint="eastAsia" w:ascii="仿宋" w:hAnsi="仿宋" w:eastAsia="仿宋"/>
          <w:color w:val="000000"/>
          <w:sz w:val="32"/>
          <w:szCs w:val="32"/>
        </w:rPr>
        <w:t>万元，社会保险经办机构</w:t>
      </w:r>
      <w:r>
        <w:rPr>
          <w:rFonts w:hint="eastAsia" w:ascii="仿宋" w:hAnsi="仿宋" w:eastAsia="仿宋"/>
          <w:color w:val="000000"/>
          <w:sz w:val="32"/>
          <w:szCs w:val="32"/>
          <w:lang w:val="en-US" w:eastAsia="zh-CN"/>
        </w:rPr>
        <w:t>124.36</w:t>
      </w:r>
      <w:r>
        <w:rPr>
          <w:rFonts w:hint="eastAsia" w:ascii="仿宋" w:hAnsi="仿宋" w:eastAsia="仿宋"/>
          <w:color w:val="000000"/>
          <w:sz w:val="32"/>
          <w:szCs w:val="32"/>
        </w:rPr>
        <w:t>万元；就业行政事业单位离退休支出</w:t>
      </w:r>
      <w:r>
        <w:rPr>
          <w:rFonts w:hint="eastAsia" w:ascii="仿宋" w:hAnsi="仿宋" w:eastAsia="仿宋"/>
          <w:color w:val="000000"/>
          <w:sz w:val="32"/>
          <w:szCs w:val="32"/>
          <w:lang w:val="en-US" w:eastAsia="zh-CN"/>
        </w:rPr>
        <w:t>17.73</w:t>
      </w:r>
      <w:r>
        <w:rPr>
          <w:rFonts w:hint="eastAsia" w:ascii="仿宋" w:hAnsi="仿宋" w:eastAsia="仿宋"/>
          <w:color w:val="000000"/>
          <w:sz w:val="32"/>
          <w:szCs w:val="32"/>
        </w:rPr>
        <w:t>万元，就业创业补助（专项资金-往来款项）支出</w:t>
      </w:r>
      <w:r>
        <w:rPr>
          <w:rFonts w:hint="eastAsia" w:ascii="仿宋" w:hAnsi="仿宋" w:eastAsia="仿宋"/>
          <w:color w:val="000000"/>
          <w:sz w:val="32"/>
          <w:szCs w:val="32"/>
          <w:lang w:val="en-US" w:eastAsia="zh-CN"/>
        </w:rPr>
        <w:t>1319.57</w:t>
      </w:r>
      <w:r>
        <w:rPr>
          <w:rFonts w:hint="eastAsia" w:ascii="仿宋" w:hAnsi="仿宋" w:eastAsia="仿宋"/>
          <w:color w:val="000000"/>
          <w:sz w:val="32"/>
          <w:szCs w:val="32"/>
        </w:rPr>
        <w:t>万元；其中：职业培训补贴</w:t>
      </w:r>
      <w:r>
        <w:rPr>
          <w:rFonts w:hint="eastAsia" w:ascii="仿宋" w:hAnsi="仿宋" w:eastAsia="仿宋"/>
          <w:color w:val="000000"/>
          <w:sz w:val="32"/>
          <w:szCs w:val="32"/>
          <w:lang w:val="en-US" w:eastAsia="zh-CN"/>
        </w:rPr>
        <w:t>306.81</w:t>
      </w:r>
      <w:r>
        <w:rPr>
          <w:rFonts w:hint="eastAsia" w:ascii="仿宋" w:hAnsi="仿宋" w:eastAsia="仿宋"/>
          <w:color w:val="000000"/>
          <w:sz w:val="32"/>
          <w:szCs w:val="32"/>
        </w:rPr>
        <w:t>万元；社会保险补贴</w:t>
      </w:r>
      <w:r>
        <w:rPr>
          <w:rFonts w:hint="eastAsia" w:ascii="仿宋" w:hAnsi="仿宋" w:eastAsia="仿宋"/>
          <w:color w:val="000000"/>
          <w:sz w:val="32"/>
          <w:szCs w:val="32"/>
          <w:lang w:val="en-US" w:eastAsia="zh-CN"/>
        </w:rPr>
        <w:t>346.60</w:t>
      </w:r>
      <w:r>
        <w:rPr>
          <w:rFonts w:hint="eastAsia" w:ascii="仿宋" w:hAnsi="仿宋" w:eastAsia="仿宋"/>
          <w:color w:val="000000"/>
          <w:sz w:val="32"/>
          <w:szCs w:val="32"/>
        </w:rPr>
        <w:t>万元；公益性岗位补贴</w:t>
      </w:r>
      <w:r>
        <w:rPr>
          <w:rFonts w:hint="eastAsia" w:ascii="仿宋" w:hAnsi="仿宋" w:eastAsia="仿宋"/>
          <w:color w:val="000000"/>
          <w:sz w:val="32"/>
          <w:szCs w:val="32"/>
          <w:lang w:val="en-US" w:eastAsia="zh-CN"/>
        </w:rPr>
        <w:t>400.27</w:t>
      </w:r>
      <w:r>
        <w:rPr>
          <w:rFonts w:hint="eastAsia" w:ascii="仿宋" w:hAnsi="仿宋" w:eastAsia="仿宋"/>
          <w:color w:val="000000"/>
          <w:sz w:val="32"/>
          <w:szCs w:val="32"/>
        </w:rPr>
        <w:t>万元；职业技能鉴定补贴</w:t>
      </w:r>
      <w:r>
        <w:rPr>
          <w:rFonts w:hint="eastAsia" w:ascii="仿宋" w:hAnsi="仿宋" w:eastAsia="仿宋"/>
          <w:color w:val="000000"/>
          <w:sz w:val="32"/>
          <w:szCs w:val="32"/>
          <w:lang w:val="en-US" w:eastAsia="zh-CN"/>
        </w:rPr>
        <w:t>22.76</w:t>
      </w:r>
      <w:r>
        <w:rPr>
          <w:rFonts w:hint="eastAsia" w:ascii="仿宋" w:hAnsi="仿宋" w:eastAsia="仿宋"/>
          <w:color w:val="000000"/>
          <w:sz w:val="32"/>
          <w:szCs w:val="32"/>
        </w:rPr>
        <w:t>万元；就业见习补贴</w:t>
      </w:r>
      <w:r>
        <w:rPr>
          <w:rFonts w:hint="eastAsia" w:ascii="仿宋" w:hAnsi="仿宋" w:eastAsia="仿宋"/>
          <w:color w:val="000000"/>
          <w:sz w:val="32"/>
          <w:szCs w:val="32"/>
          <w:lang w:val="en-US" w:eastAsia="zh-CN"/>
        </w:rPr>
        <w:t>69.43</w:t>
      </w:r>
      <w:r>
        <w:rPr>
          <w:rFonts w:hint="eastAsia" w:ascii="仿宋" w:hAnsi="仿宋" w:eastAsia="仿宋"/>
          <w:color w:val="000000"/>
          <w:sz w:val="32"/>
          <w:szCs w:val="32"/>
        </w:rPr>
        <w:t>万元；其他就业补助支出</w:t>
      </w:r>
      <w:r>
        <w:rPr>
          <w:rFonts w:hint="eastAsia" w:ascii="仿宋" w:hAnsi="仿宋" w:eastAsia="仿宋"/>
          <w:color w:val="000000"/>
          <w:sz w:val="32"/>
          <w:szCs w:val="32"/>
          <w:lang w:val="en-US" w:eastAsia="zh-CN"/>
        </w:rPr>
        <w:t>144.83</w:t>
      </w:r>
      <w:r>
        <w:rPr>
          <w:rFonts w:hint="eastAsia" w:ascii="仿宋" w:hAnsi="仿宋" w:eastAsia="仿宋"/>
          <w:color w:val="000000"/>
          <w:sz w:val="32"/>
          <w:szCs w:val="32"/>
        </w:rPr>
        <w:t>万元。</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医疗卫生支出10.</w:t>
      </w:r>
      <w:r>
        <w:rPr>
          <w:rFonts w:hint="eastAsia" w:ascii="仿宋" w:hAnsi="仿宋" w:eastAsia="仿宋"/>
          <w:color w:val="000000"/>
          <w:sz w:val="32"/>
          <w:szCs w:val="32"/>
          <w:lang w:val="en-US" w:eastAsia="zh-CN"/>
        </w:rPr>
        <w:t>47</w:t>
      </w:r>
      <w:r>
        <w:rPr>
          <w:rFonts w:hint="eastAsia" w:ascii="仿宋" w:hAnsi="仿宋" w:eastAsia="仿宋"/>
          <w:color w:val="000000"/>
          <w:sz w:val="32"/>
          <w:szCs w:val="32"/>
        </w:rPr>
        <w:t>万元。主要用于机关按照规定标准为职工缴纳的基本医疗保险及公务员医疗补助等支出。</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住房保障支出11.</w:t>
      </w:r>
      <w:r>
        <w:rPr>
          <w:rFonts w:hint="eastAsia" w:ascii="仿宋" w:hAnsi="仿宋" w:eastAsia="仿宋"/>
          <w:color w:val="000000"/>
          <w:sz w:val="32"/>
          <w:szCs w:val="32"/>
          <w:lang w:val="en-US" w:eastAsia="zh-CN"/>
        </w:rPr>
        <w:t>90</w:t>
      </w:r>
      <w:r>
        <w:rPr>
          <w:rFonts w:hint="eastAsia" w:ascii="仿宋" w:hAnsi="仿宋" w:eastAsia="仿宋"/>
          <w:color w:val="000000"/>
          <w:sz w:val="32"/>
          <w:szCs w:val="32"/>
        </w:rPr>
        <w:t>万元。主要用于机关按照规定标准为职工缴纳住房公积金等支出。</w:t>
      </w:r>
    </w:p>
    <w:p>
      <w:pPr>
        <w:numPr>
          <w:ilvl w:val="0"/>
          <w:numId w:val="1"/>
        </w:numPr>
        <w:spacing w:line="600" w:lineRule="exact"/>
        <w:ind w:left="-10" w:leftChars="0" w:firstLine="640" w:firstLineChars="0"/>
        <w:outlineLvl w:val="0"/>
        <w:rPr>
          <w:rFonts w:hint="eastAsia" w:ascii="黑体" w:hAnsi="黑体" w:eastAsia="黑体"/>
          <w:color w:val="000000"/>
          <w:sz w:val="32"/>
          <w:szCs w:val="32"/>
        </w:rPr>
      </w:pPr>
      <w:bookmarkStart w:id="37" w:name="_Toc17101"/>
      <w:bookmarkStart w:id="38" w:name="_Toc11786"/>
      <w:r>
        <w:rPr>
          <w:rFonts w:hint="eastAsia" w:ascii="黑体" w:hAnsi="黑体" w:eastAsia="黑体"/>
          <w:color w:val="000000"/>
          <w:sz w:val="32"/>
          <w:szCs w:val="32"/>
        </w:rPr>
        <w:t>一般公共预算财政拨款基本支出决算情况说明</w:t>
      </w:r>
      <w:bookmarkEnd w:id="37"/>
      <w:bookmarkEnd w:id="38"/>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1505.87</w:t>
      </w:r>
      <w:r>
        <w:rPr>
          <w:rFonts w:hint="eastAsia" w:ascii="仿宋" w:hAnsi="仿宋" w:eastAsia="仿宋"/>
          <w:color w:val="000000"/>
          <w:sz w:val="32"/>
          <w:szCs w:val="32"/>
        </w:rPr>
        <w:t>万元，其中：</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632.15</w:t>
      </w:r>
      <w:r>
        <w:rPr>
          <w:rFonts w:hint="eastAsia" w:ascii="仿宋" w:hAnsi="仿宋" w:eastAsia="仿宋"/>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离休费、奖励金、其他对个人和家庭的补助支出。</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公用经费</w:t>
      </w:r>
      <w:r>
        <w:rPr>
          <w:rFonts w:hint="eastAsia" w:ascii="仿宋" w:hAnsi="仿宋" w:eastAsia="仿宋"/>
          <w:color w:val="000000"/>
          <w:sz w:val="32"/>
          <w:szCs w:val="32"/>
          <w:lang w:val="en-US" w:eastAsia="zh-CN"/>
        </w:rPr>
        <w:t>873.72</w:t>
      </w:r>
      <w:r>
        <w:rPr>
          <w:rFonts w:hint="eastAsia" w:ascii="仿宋" w:hAnsi="仿宋" w:eastAsia="仿宋"/>
          <w:color w:val="000000"/>
          <w:sz w:val="32"/>
          <w:szCs w:val="32"/>
        </w:rPr>
        <w:t>万元，主要包括：办公费、手续费、水费、电费、邮电费、差旅费、维修（护）费、会议费、培训费、劳务费、工会经费、福利费、其他交通费、其他商品和服务支出。</w:t>
      </w:r>
    </w:p>
    <w:p>
      <w:pPr>
        <w:spacing w:line="600" w:lineRule="exact"/>
        <w:ind w:firstLine="640"/>
        <w:outlineLvl w:val="0"/>
        <w:rPr>
          <w:rFonts w:ascii="黑体" w:eastAsia="黑体"/>
          <w:color w:val="000000"/>
          <w:sz w:val="32"/>
          <w:szCs w:val="32"/>
        </w:rPr>
      </w:pPr>
      <w:bookmarkStart w:id="39" w:name="_Toc13897"/>
      <w:bookmarkStart w:id="40" w:name="_Toc19405"/>
      <w:r>
        <w:rPr>
          <w:rFonts w:hint="eastAsia" w:ascii="黑体" w:eastAsia="黑体"/>
          <w:color w:val="000000"/>
          <w:sz w:val="32"/>
          <w:szCs w:val="32"/>
          <w:lang w:eastAsia="zh-CN"/>
        </w:rPr>
        <w:t>七</w:t>
      </w:r>
      <w:r>
        <w:rPr>
          <w:rFonts w:hint="eastAsia" w:ascii="黑体" w:eastAsia="黑体"/>
          <w:color w:val="000000"/>
          <w:sz w:val="32"/>
          <w:szCs w:val="32"/>
        </w:rPr>
        <w:t>、“三公”经费财政拨款支出决算情况说明</w:t>
      </w:r>
      <w:bookmarkEnd w:id="39"/>
      <w:bookmarkEnd w:id="40"/>
    </w:p>
    <w:p>
      <w:pPr>
        <w:spacing w:line="600" w:lineRule="exact"/>
        <w:ind w:firstLine="640"/>
        <w:outlineLvl w:val="1"/>
        <w:rPr>
          <w:rFonts w:ascii="仿宋_GB2312" w:eastAsia="仿宋_GB2312"/>
          <w:b/>
          <w:color w:val="000000"/>
          <w:sz w:val="32"/>
          <w:szCs w:val="32"/>
        </w:rPr>
      </w:pPr>
      <w:bookmarkStart w:id="41" w:name="_Toc12300"/>
      <w:r>
        <w:rPr>
          <w:rFonts w:hint="eastAsia" w:ascii="仿宋_GB2312" w:eastAsia="仿宋_GB2312"/>
          <w:b/>
          <w:color w:val="000000"/>
          <w:sz w:val="32"/>
          <w:szCs w:val="32"/>
        </w:rPr>
        <w:t>（一）“三公”经费财政拨款支出决算总体情况说明</w:t>
      </w:r>
      <w:bookmarkEnd w:id="41"/>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2018年度“三公”经费财政拨款支出决算为0.</w:t>
      </w:r>
      <w:r>
        <w:rPr>
          <w:rFonts w:hint="eastAsia" w:ascii="仿宋_GB2312" w:eastAsia="仿宋_GB2312"/>
          <w:color w:val="000000"/>
          <w:sz w:val="32"/>
          <w:szCs w:val="32"/>
          <w:lang w:val="en-US" w:eastAsia="zh-CN"/>
        </w:rPr>
        <w:t>18</w:t>
      </w:r>
      <w:r>
        <w:rPr>
          <w:rFonts w:hint="eastAsia" w:ascii="仿宋_GB2312" w:eastAsia="仿宋_GB2312"/>
          <w:color w:val="000000"/>
          <w:sz w:val="32"/>
          <w:szCs w:val="32"/>
        </w:rPr>
        <w:t>万元</w:t>
      </w:r>
      <w:r>
        <w:rPr>
          <w:rFonts w:ascii="仿宋_GB2312" w:eastAsia="仿宋_GB2312"/>
          <w:color w:val="000000"/>
          <w:sz w:val="32"/>
          <w:szCs w:val="32"/>
        </w:rPr>
        <w:t xml:space="preserve"> </w:t>
      </w:r>
      <w:r>
        <w:rPr>
          <w:rFonts w:hint="eastAsia" w:ascii="仿宋_GB2312" w:eastAsia="仿宋_GB2312"/>
          <w:color w:val="000000"/>
          <w:sz w:val="32"/>
          <w:szCs w:val="32"/>
        </w:rPr>
        <w:t>。</w:t>
      </w:r>
    </w:p>
    <w:p>
      <w:pPr>
        <w:spacing w:line="600" w:lineRule="exact"/>
        <w:ind w:firstLine="640"/>
        <w:outlineLvl w:val="1"/>
        <w:rPr>
          <w:rFonts w:ascii="仿宋_GB2312" w:eastAsia="仿宋_GB2312"/>
          <w:b/>
          <w:color w:val="000000"/>
          <w:sz w:val="32"/>
          <w:szCs w:val="32"/>
        </w:rPr>
      </w:pPr>
      <w:bookmarkStart w:id="42" w:name="_Toc12430"/>
      <w:r>
        <w:rPr>
          <w:rFonts w:hint="eastAsia" w:ascii="仿宋_GB2312" w:eastAsia="仿宋_GB2312"/>
          <w:b/>
          <w:color w:val="000000"/>
          <w:sz w:val="32"/>
          <w:szCs w:val="32"/>
        </w:rPr>
        <w:t>（二）“三公”经费财政拨款支出决算具体情况说明</w:t>
      </w:r>
      <w:bookmarkEnd w:id="42"/>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2018年度“三公”经费财政拨款支出决算中，因公出国（境）费支出决算0万元，占0%；公务用车购置及运行维护费支出决算0万元，占0%；公务接待费支出决算0.</w:t>
      </w:r>
      <w:r>
        <w:rPr>
          <w:rFonts w:hint="eastAsia" w:ascii="仿宋_GB2312" w:eastAsia="仿宋_GB2312"/>
          <w:color w:val="000000"/>
          <w:sz w:val="32"/>
          <w:szCs w:val="32"/>
          <w:lang w:val="en-US" w:eastAsia="zh-CN"/>
        </w:rPr>
        <w:t>18</w:t>
      </w:r>
      <w:r>
        <w:rPr>
          <w:rFonts w:hint="eastAsia" w:ascii="仿宋_GB2312" w:eastAsia="仿宋_GB2312"/>
          <w:color w:val="000000"/>
          <w:sz w:val="32"/>
          <w:szCs w:val="32"/>
        </w:rPr>
        <w:t>万元，占100%。具体情况如下：</w:t>
      </w:r>
    </w:p>
    <w:p>
      <w:pPr>
        <w:spacing w:line="600" w:lineRule="exact"/>
        <w:ind w:firstLine="640" w:firstLineChars="200"/>
        <w:rPr>
          <w:rFonts w:ascii="仿宋_GB2312" w:eastAsia="仿宋_GB2312"/>
          <w:color w:val="000000"/>
          <w:sz w:val="32"/>
          <w:szCs w:val="32"/>
          <w:highlight w:val="yellow"/>
        </w:rPr>
      </w:pPr>
      <w:r>
        <w:rPr>
          <w:rFonts w:hint="eastAsia" w:ascii="仿宋_GB2312" w:eastAsia="仿宋_GB2312"/>
          <w:b w:val="0"/>
          <w:bCs/>
          <w:color w:val="000000"/>
          <w:sz w:val="32"/>
          <w:szCs w:val="32"/>
        </w:rPr>
        <w:t>公务接待费支出</w:t>
      </w:r>
      <w:r>
        <w:rPr>
          <w:rFonts w:hint="eastAsia" w:ascii="仿宋_GB2312" w:eastAsia="仿宋_GB2312"/>
          <w:color w:val="000000"/>
          <w:sz w:val="32"/>
          <w:szCs w:val="32"/>
        </w:rPr>
        <w:t>0.</w:t>
      </w:r>
      <w:r>
        <w:rPr>
          <w:rFonts w:hint="eastAsia" w:ascii="仿宋_GB2312" w:eastAsia="仿宋_GB2312"/>
          <w:color w:val="000000"/>
          <w:sz w:val="32"/>
          <w:szCs w:val="32"/>
          <w:lang w:val="en-US" w:eastAsia="zh-CN"/>
        </w:rPr>
        <w:t>18</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40</w:t>
      </w:r>
      <w:r>
        <w:rPr>
          <w:rFonts w:hint="eastAsia" w:ascii="仿宋_GB2312" w:eastAsia="仿宋_GB2312"/>
          <w:color w:val="000000"/>
          <w:sz w:val="32"/>
          <w:szCs w:val="32"/>
        </w:rPr>
        <w:t>人次（不包括陪同人员），共计支出0.</w:t>
      </w:r>
      <w:r>
        <w:rPr>
          <w:rFonts w:hint="eastAsia" w:ascii="仿宋_GB2312" w:eastAsia="仿宋_GB2312"/>
          <w:color w:val="000000"/>
          <w:sz w:val="32"/>
          <w:szCs w:val="32"/>
          <w:lang w:val="en-US" w:eastAsia="zh-CN"/>
        </w:rPr>
        <w:t>18</w:t>
      </w:r>
      <w:r>
        <w:rPr>
          <w:rFonts w:hint="eastAsia" w:ascii="仿宋_GB2312" w:eastAsia="仿宋_GB2312"/>
          <w:color w:val="000000"/>
          <w:sz w:val="32"/>
          <w:szCs w:val="32"/>
        </w:rPr>
        <w:t>万元。</w:t>
      </w:r>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公务接待费支出决算比201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年减少0.0</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万元。主要原因是201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年减少公务车购置及运行维护分支出，严格执行中央八项规定，加强了公务接待的管理。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outlineLvl w:val="0"/>
        <w:rPr>
          <w:rFonts w:ascii="微软雅黑" w:hAnsi="微软雅黑" w:eastAsia="微软雅黑" w:cs="微软雅黑"/>
          <w:i w:val="0"/>
          <w:iCs w:val="0"/>
          <w:caps w:val="0"/>
          <w:color w:val="000000"/>
          <w:spacing w:val="0"/>
          <w:sz w:val="24"/>
          <w:szCs w:val="24"/>
        </w:rPr>
      </w:pPr>
      <w:bookmarkStart w:id="43" w:name="_Toc26206"/>
      <w:bookmarkStart w:id="44" w:name="_Toc24977"/>
      <w:r>
        <w:rPr>
          <w:rFonts w:hint="eastAsia" w:ascii="仿宋" w:hAnsi="仿宋" w:eastAsia="仿宋" w:cs="仿宋"/>
          <w:b/>
          <w:bCs/>
          <w:i w:val="0"/>
          <w:iCs w:val="0"/>
          <w:caps w:val="0"/>
          <w:color w:val="000000"/>
          <w:spacing w:val="0"/>
          <w:kern w:val="0"/>
          <w:sz w:val="32"/>
          <w:szCs w:val="32"/>
          <w:shd w:val="clear" w:fill="FFFFFF"/>
          <w:lang w:val="en-US" w:eastAsia="zh-CN" w:bidi="ar"/>
        </w:rPr>
        <w:t>八</w:t>
      </w:r>
      <w:r>
        <w:rPr>
          <w:rFonts w:ascii="仿宋" w:hAnsi="仿宋" w:eastAsia="仿宋" w:cs="仿宋"/>
          <w:b/>
          <w:bCs/>
          <w:i w:val="0"/>
          <w:iCs w:val="0"/>
          <w:caps w:val="0"/>
          <w:color w:val="000000"/>
          <w:spacing w:val="0"/>
          <w:kern w:val="0"/>
          <w:sz w:val="32"/>
          <w:szCs w:val="32"/>
          <w:shd w:val="clear" w:fill="FFFFFF"/>
          <w:lang w:val="en-US" w:eastAsia="zh-CN" w:bidi="ar"/>
        </w:rPr>
        <w:t>、政府性基金预算支出决算情况说明</w:t>
      </w:r>
      <w:bookmarkEnd w:id="43"/>
      <w:bookmarkEnd w:id="44"/>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2019年政府性基金预算拨款支出0万元。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outlineLvl w:val="0"/>
        <w:rPr>
          <w:rFonts w:hint="eastAsia" w:ascii="微软雅黑" w:hAnsi="微软雅黑" w:eastAsia="微软雅黑" w:cs="微软雅黑"/>
          <w:i w:val="0"/>
          <w:iCs w:val="0"/>
          <w:caps w:val="0"/>
          <w:color w:val="000000"/>
          <w:spacing w:val="0"/>
          <w:sz w:val="24"/>
          <w:szCs w:val="24"/>
        </w:rPr>
      </w:pPr>
      <w:bookmarkStart w:id="45" w:name="_Toc23768"/>
      <w:bookmarkStart w:id="46" w:name="_Toc24209"/>
      <w:r>
        <w:rPr>
          <w:rFonts w:hint="eastAsia" w:ascii="仿宋" w:hAnsi="仿宋" w:eastAsia="仿宋" w:cs="仿宋"/>
          <w:b/>
          <w:bCs/>
          <w:i w:val="0"/>
          <w:iCs w:val="0"/>
          <w:caps w:val="0"/>
          <w:color w:val="000000"/>
          <w:spacing w:val="0"/>
          <w:kern w:val="0"/>
          <w:sz w:val="32"/>
          <w:szCs w:val="32"/>
          <w:shd w:val="clear" w:fill="FFFFFF"/>
          <w:lang w:val="en-US" w:eastAsia="zh-CN" w:bidi="ar"/>
        </w:rPr>
        <w:t>九、国有资本经营预算支出决算情况说明</w:t>
      </w:r>
      <w:bookmarkEnd w:id="45"/>
      <w:bookmarkEnd w:id="46"/>
    </w:p>
    <w:p>
      <w:pPr>
        <w:spacing w:line="600" w:lineRule="exact"/>
        <w:ind w:firstLine="640"/>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2019年国有资本经营预算拨款支出0万元</w:t>
      </w:r>
    </w:p>
    <w:p>
      <w:pPr>
        <w:spacing w:line="600" w:lineRule="exact"/>
        <w:ind w:firstLine="640" w:firstLineChars="200"/>
        <w:outlineLvl w:val="0"/>
        <w:rPr>
          <w:rFonts w:ascii="黑体" w:hAnsi="黑体" w:eastAsia="黑体"/>
          <w:sz w:val="32"/>
          <w:szCs w:val="32"/>
        </w:rPr>
      </w:pPr>
      <w:bookmarkStart w:id="47" w:name="_Toc6406"/>
      <w:bookmarkStart w:id="48" w:name="_Toc9135"/>
      <w:r>
        <w:rPr>
          <w:rFonts w:hint="eastAsia" w:ascii="黑体" w:hAnsi="黑体" w:eastAsia="黑体"/>
          <w:sz w:val="32"/>
          <w:szCs w:val="32"/>
          <w:lang w:eastAsia="zh-CN"/>
        </w:rPr>
        <w:t>十</w:t>
      </w:r>
      <w:r>
        <w:rPr>
          <w:rFonts w:ascii="黑体" w:hAnsi="黑体" w:eastAsia="黑体"/>
          <w:sz w:val="32"/>
          <w:szCs w:val="32"/>
        </w:rPr>
        <w:t>、其他重要事项的情况说明</w:t>
      </w:r>
      <w:bookmarkEnd w:id="47"/>
      <w:bookmarkEnd w:id="48"/>
    </w:p>
    <w:p>
      <w:pPr>
        <w:spacing w:line="600" w:lineRule="exact"/>
        <w:ind w:firstLine="64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201</w:t>
      </w:r>
      <w:r>
        <w:rPr>
          <w:rFonts w:hint="eastAsia" w:ascii="仿宋" w:hAnsi="仿宋" w:eastAsia="仿宋"/>
          <w:sz w:val="32"/>
          <w:szCs w:val="32"/>
          <w:lang w:val="en-US" w:eastAsia="zh-CN"/>
        </w:rPr>
        <w:t>9</w:t>
      </w:r>
      <w:r>
        <w:rPr>
          <w:rFonts w:ascii="仿宋" w:hAnsi="仿宋" w:eastAsia="仿宋"/>
          <w:sz w:val="32"/>
          <w:szCs w:val="32"/>
        </w:rPr>
        <w:t>年，开江县</w:t>
      </w:r>
      <w:r>
        <w:rPr>
          <w:rFonts w:hint="eastAsia" w:ascii="仿宋" w:hAnsi="仿宋" w:eastAsia="仿宋"/>
          <w:sz w:val="32"/>
          <w:szCs w:val="32"/>
        </w:rPr>
        <w:t>就业服务管理</w:t>
      </w:r>
      <w:r>
        <w:rPr>
          <w:rFonts w:ascii="仿宋" w:hAnsi="仿宋" w:eastAsia="仿宋"/>
          <w:sz w:val="32"/>
          <w:szCs w:val="32"/>
        </w:rPr>
        <w:t>局机关运行经费支出</w:t>
      </w:r>
      <w:r>
        <w:rPr>
          <w:rFonts w:hint="eastAsia" w:ascii="仿宋" w:hAnsi="仿宋" w:eastAsia="仿宋"/>
          <w:sz w:val="32"/>
          <w:szCs w:val="32"/>
          <w:lang w:val="en-US" w:eastAsia="zh-CN"/>
        </w:rPr>
        <w:t>873.72</w:t>
      </w:r>
      <w:r>
        <w:rPr>
          <w:rFonts w:ascii="仿宋" w:hAnsi="仿宋" w:eastAsia="仿宋"/>
          <w:sz w:val="32"/>
          <w:szCs w:val="32"/>
        </w:rPr>
        <w:t>万元。</w:t>
      </w:r>
    </w:p>
    <w:p>
      <w:pPr>
        <w:spacing w:line="600" w:lineRule="exact"/>
        <w:ind w:firstLine="640"/>
        <w:rPr>
          <w:rFonts w:ascii="仿宋" w:hAnsi="仿宋" w:eastAsia="仿宋"/>
          <w:sz w:val="32"/>
          <w:szCs w:val="32"/>
        </w:rPr>
      </w:pPr>
      <w:r>
        <w:rPr>
          <w:rFonts w:ascii="仿宋" w:hAnsi="仿宋" w:eastAsia="仿宋"/>
          <w:sz w:val="32"/>
          <w:szCs w:val="32"/>
        </w:rPr>
        <w:t>（二）政府采购支出情况</w:t>
      </w:r>
    </w:p>
    <w:p>
      <w:pPr>
        <w:spacing w:line="600" w:lineRule="exact"/>
        <w:ind w:firstLine="640"/>
        <w:rPr>
          <w:rFonts w:hint="eastAsia" w:ascii="仿宋" w:hAnsi="仿宋" w:eastAsia="仿宋"/>
          <w:sz w:val="32"/>
          <w:szCs w:val="32"/>
        </w:rPr>
      </w:pPr>
      <w:r>
        <w:rPr>
          <w:rFonts w:ascii="仿宋" w:hAnsi="仿宋" w:eastAsia="仿宋"/>
          <w:sz w:val="32"/>
          <w:szCs w:val="32"/>
        </w:rPr>
        <w:t>201</w:t>
      </w:r>
      <w:r>
        <w:rPr>
          <w:rFonts w:hint="eastAsia" w:ascii="仿宋" w:hAnsi="仿宋" w:eastAsia="仿宋"/>
          <w:sz w:val="32"/>
          <w:szCs w:val="32"/>
          <w:lang w:val="en-US" w:eastAsia="zh-CN"/>
        </w:rPr>
        <w:t>9</w:t>
      </w:r>
      <w:r>
        <w:rPr>
          <w:rFonts w:ascii="仿宋" w:hAnsi="仿宋" w:eastAsia="仿宋"/>
          <w:sz w:val="32"/>
          <w:szCs w:val="32"/>
        </w:rPr>
        <w:t>年，政府采购支出总额0万元</w:t>
      </w:r>
      <w:r>
        <w:rPr>
          <w:rFonts w:hint="eastAsia" w:ascii="仿宋" w:hAnsi="仿宋" w:eastAsia="仿宋"/>
          <w:sz w:val="32"/>
          <w:szCs w:val="32"/>
        </w:rPr>
        <w:t>。</w:t>
      </w:r>
    </w:p>
    <w:p>
      <w:pPr>
        <w:spacing w:line="600" w:lineRule="exact"/>
        <w:ind w:firstLine="640"/>
        <w:rPr>
          <w:rFonts w:ascii="仿宋" w:hAnsi="仿宋" w:eastAsia="仿宋"/>
          <w:sz w:val="32"/>
          <w:szCs w:val="32"/>
        </w:rPr>
      </w:pPr>
      <w:r>
        <w:rPr>
          <w:rFonts w:ascii="仿宋" w:hAnsi="仿宋" w:eastAsia="仿宋"/>
          <w:sz w:val="32"/>
          <w:szCs w:val="32"/>
        </w:rPr>
        <w:t>（三）国有资产占有使用情况</w:t>
      </w:r>
    </w:p>
    <w:p>
      <w:pPr>
        <w:spacing w:line="600" w:lineRule="exact"/>
        <w:ind w:firstLine="640"/>
        <w:rPr>
          <w:rFonts w:ascii="仿宋" w:hAnsi="仿宋" w:eastAsia="仿宋"/>
          <w:sz w:val="32"/>
          <w:szCs w:val="32"/>
        </w:rPr>
      </w:pPr>
      <w:r>
        <w:rPr>
          <w:rFonts w:ascii="仿宋" w:hAnsi="仿宋" w:eastAsia="仿宋"/>
          <w:sz w:val="32"/>
          <w:szCs w:val="32"/>
        </w:rPr>
        <w:t>截至201</w:t>
      </w:r>
      <w:r>
        <w:rPr>
          <w:rFonts w:hint="eastAsia" w:ascii="仿宋" w:hAnsi="仿宋" w:eastAsia="仿宋"/>
          <w:sz w:val="32"/>
          <w:szCs w:val="32"/>
          <w:lang w:val="en-US" w:eastAsia="zh-CN"/>
        </w:rPr>
        <w:t>9</w:t>
      </w:r>
      <w:r>
        <w:rPr>
          <w:rFonts w:ascii="仿宋" w:hAnsi="仿宋" w:eastAsia="仿宋"/>
          <w:sz w:val="32"/>
          <w:szCs w:val="32"/>
        </w:rPr>
        <w:t>年12月31日，共有车辆0辆，其中：主要领导干部用车0辆、机要通信用车0辆、应急保障用车0辆、其他用车0辆。单价50万元以上通用设备0台（套），单价100万元以上专用设备0台（套）。</w:t>
      </w:r>
    </w:p>
    <w:p>
      <w:pPr>
        <w:numPr>
          <w:ilvl w:val="0"/>
          <w:numId w:val="0"/>
        </w:numPr>
        <w:spacing w:line="600" w:lineRule="exact"/>
        <w:ind w:firstLine="64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（四）预算绩效管理情况</w:t>
      </w:r>
    </w:p>
    <w:p>
      <w:pPr>
        <w:numPr>
          <w:ilvl w:val="0"/>
          <w:numId w:val="0"/>
        </w:numPr>
        <w:spacing w:line="600" w:lineRule="exact"/>
        <w:ind w:firstLine="64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无</w:t>
      </w:r>
    </w:p>
    <w:p>
      <w:pPr>
        <w:spacing w:line="600" w:lineRule="exact"/>
        <w:jc w:val="center"/>
        <w:outlineLvl w:val="0"/>
        <w:rPr>
          <w:rFonts w:hint="eastAsia" w:ascii="黑体" w:hAnsi="黑体" w:eastAsia="黑体" w:cs="黑体"/>
          <w:b w:val="0"/>
          <w:bCs w:val="0"/>
          <w:sz w:val="44"/>
          <w:szCs w:val="44"/>
          <w:lang w:eastAsia="zh-CN"/>
        </w:rPr>
      </w:pPr>
      <w:bookmarkStart w:id="49" w:name="_Toc22185"/>
      <w:bookmarkStart w:id="50" w:name="_Toc14546"/>
      <w:r>
        <w:rPr>
          <w:rFonts w:hint="eastAsia" w:ascii="黑体" w:hAnsi="黑体" w:eastAsia="黑体" w:cs="黑体"/>
          <w:b w:val="0"/>
          <w:bCs w:val="0"/>
          <w:sz w:val="44"/>
          <w:szCs w:val="44"/>
          <w:lang w:eastAsia="zh-CN"/>
        </w:rPr>
        <w:t>第三部分</w:t>
      </w:r>
      <w:r>
        <w:rPr>
          <w:rFonts w:hint="eastAsia" w:ascii="黑体" w:hAnsi="黑体" w:eastAsia="黑体" w:cs="黑体"/>
          <w:b w:val="0"/>
          <w:bCs w:val="0"/>
          <w:sz w:val="44"/>
          <w:szCs w:val="44"/>
          <w:lang w:val="en-US" w:eastAsia="zh-CN"/>
        </w:rPr>
        <w:t xml:space="preserve"> </w:t>
      </w:r>
      <w:r>
        <w:rPr>
          <w:rFonts w:hint="eastAsia" w:ascii="黑体" w:hAnsi="黑体" w:eastAsia="黑体" w:cs="黑体"/>
          <w:b w:val="0"/>
          <w:bCs w:val="0"/>
          <w:sz w:val="44"/>
          <w:szCs w:val="44"/>
          <w:lang w:eastAsia="zh-CN"/>
        </w:rPr>
        <w:t>名词注解</w:t>
      </w:r>
      <w:bookmarkEnd w:id="49"/>
      <w:bookmarkEnd w:id="50"/>
    </w:p>
    <w:p>
      <w:pPr>
        <w:spacing w:line="600" w:lineRule="exact"/>
        <w:ind w:firstLine="640"/>
        <w:jc w:val="center"/>
        <w:rPr>
          <w:rFonts w:hint="eastAsia" w:ascii="黑体" w:hAnsi="黑体" w:eastAsia="黑体" w:cs="黑体"/>
          <w:b/>
          <w:bCs/>
          <w:sz w:val="44"/>
          <w:szCs w:val="44"/>
          <w:lang w:eastAsia="zh-CN"/>
        </w:rPr>
      </w:pPr>
    </w:p>
    <w:p>
      <w:pPr>
        <w:spacing w:line="600" w:lineRule="exact"/>
        <w:ind w:firstLine="640"/>
        <w:rPr>
          <w:rFonts w:hint="eastAsia" w:ascii="仿宋" w:hAnsi="仿宋" w:eastAsia="仿宋"/>
          <w:sz w:val="32"/>
          <w:szCs w:val="32"/>
        </w:rPr>
      </w:pPr>
      <w:r>
        <w:rPr>
          <w:rFonts w:ascii="仿宋" w:hAnsi="仿宋" w:eastAsia="仿宋"/>
          <w:sz w:val="32"/>
          <w:szCs w:val="32"/>
        </w:rPr>
        <w:t>1.财政拨款收入：指单位从同级财政部门取得的财政预算资金。</w:t>
      </w:r>
    </w:p>
    <w:p>
      <w:pPr>
        <w:spacing w:line="600" w:lineRule="exact"/>
        <w:ind w:firstLine="64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.社会保障和就业（类）人力资源和社会保障管理事务（款）就业管理事务（项）：指反映就业和职业技能鉴定管理方面的支出。</w:t>
      </w:r>
    </w:p>
    <w:p>
      <w:pPr>
        <w:spacing w:line="600" w:lineRule="exact"/>
        <w:ind w:firstLine="640"/>
        <w:rPr>
          <w:rFonts w:hint="eastAsia" w:ascii="仿宋" w:hAnsi="仿宋" w:eastAsia="仿宋"/>
          <w:sz w:val="32"/>
          <w:szCs w:val="32"/>
        </w:rPr>
      </w:pPr>
      <w:r>
        <w:rPr>
          <w:rFonts w:hint="eastAsia" w:ascii="仿宋" w:hAnsi="仿宋" w:eastAsia="仿宋"/>
          <w:sz w:val="32"/>
          <w:szCs w:val="32"/>
        </w:rPr>
        <w:t>3</w:t>
      </w:r>
      <w:r>
        <w:rPr>
          <w:rFonts w:ascii="仿宋" w:hAnsi="仿宋" w:eastAsia="仿宋"/>
          <w:sz w:val="32"/>
          <w:szCs w:val="32"/>
        </w:rPr>
        <w:t>.社会保障和就业（类）人力资源和社会保障管理事务（款）社会保险经办机构（项）：指反映社会保险经办机构开展业务工作的支出。</w:t>
      </w:r>
    </w:p>
    <w:p>
      <w:pPr>
        <w:spacing w:line="600" w:lineRule="exact"/>
        <w:ind w:firstLine="640"/>
        <w:rPr>
          <w:rFonts w:hint="eastAsia"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hint="eastAsia" w:ascii="仿宋" w:hAnsi="仿宋" w:eastAsia="仿宋"/>
          <w:sz w:val="32"/>
          <w:szCs w:val="32"/>
          <w:lang w:eastAsia="zh-CN"/>
        </w:rPr>
      </w:pPr>
      <w:r>
        <w:rPr>
          <w:rFonts w:hint="eastAsia" w:ascii="仿宋" w:hAnsi="仿宋" w:eastAsia="仿宋"/>
          <w:sz w:val="32"/>
          <w:szCs w:val="32"/>
          <w:lang w:val="en-US" w:eastAsia="zh-CN"/>
        </w:rPr>
        <w:t>5</w:t>
      </w:r>
      <w:r>
        <w:rPr>
          <w:rFonts w:hint="eastAsia" w:ascii="仿宋" w:hAnsi="仿宋" w:eastAsia="仿宋"/>
          <w:sz w:val="32"/>
          <w:szCs w:val="32"/>
          <w:lang w:eastAsia="zh-CN"/>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rPr>
          <w:rFonts w:hint="eastAsia" w:ascii="仿宋" w:hAnsi="仿宋" w:eastAsia="仿宋"/>
          <w:sz w:val="32"/>
          <w:szCs w:val="32"/>
          <w:lang w:eastAsia="zh-CN"/>
        </w:rPr>
      </w:pPr>
      <w:r>
        <w:rPr>
          <w:rFonts w:hint="eastAsia" w:ascii="仿宋" w:hAnsi="仿宋" w:eastAsia="仿宋"/>
          <w:sz w:val="32"/>
          <w:szCs w:val="32"/>
          <w:lang w:val="en-US" w:eastAsia="zh-CN"/>
        </w:rPr>
        <w:t>6</w:t>
      </w:r>
      <w:r>
        <w:rPr>
          <w:rFonts w:hint="eastAsia" w:ascii="仿宋" w:hAnsi="仿宋" w:eastAsia="仿宋"/>
          <w:sz w:val="32"/>
          <w:szCs w:val="32"/>
          <w:lang w:eastAsia="zh-CN"/>
        </w:rPr>
        <w:t>.医疗卫生与计划生育（类）：指行政事业单位医疗保险支出。</w:t>
      </w:r>
    </w:p>
    <w:p>
      <w:pPr>
        <w:spacing w:line="600" w:lineRule="exact"/>
        <w:ind w:firstLine="640"/>
        <w:rPr>
          <w:rFonts w:hint="eastAsia" w:ascii="仿宋" w:hAnsi="仿宋" w:eastAsia="仿宋"/>
          <w:sz w:val="32"/>
          <w:szCs w:val="32"/>
          <w:lang w:eastAsia="zh-CN"/>
        </w:rPr>
      </w:pPr>
      <w:r>
        <w:rPr>
          <w:rFonts w:hint="eastAsia" w:ascii="仿宋" w:hAnsi="仿宋" w:eastAsia="仿宋"/>
          <w:sz w:val="32"/>
          <w:szCs w:val="32"/>
          <w:lang w:val="en-US" w:eastAsia="zh-CN"/>
        </w:rPr>
        <w:t>7</w:t>
      </w:r>
      <w:r>
        <w:rPr>
          <w:rFonts w:hint="eastAsia" w:ascii="仿宋" w:hAnsi="仿宋" w:eastAsia="仿宋"/>
          <w:sz w:val="32"/>
          <w:szCs w:val="32"/>
          <w:lang w:eastAsia="zh-CN"/>
        </w:rPr>
        <w:t>.住房保障（类）：指行政事业住房公积金支出。</w:t>
      </w:r>
    </w:p>
    <w:p>
      <w:pPr>
        <w:spacing w:line="600" w:lineRule="exact"/>
        <w:ind w:firstLine="640"/>
        <w:rPr>
          <w:rFonts w:hint="eastAsia" w:ascii="仿宋" w:hAnsi="仿宋" w:eastAsia="仿宋"/>
          <w:sz w:val="32"/>
          <w:szCs w:val="32"/>
          <w:lang w:eastAsia="zh-CN"/>
        </w:rPr>
      </w:pPr>
      <w:r>
        <w:rPr>
          <w:rFonts w:hint="eastAsia" w:ascii="仿宋" w:hAnsi="仿宋" w:eastAsia="仿宋"/>
          <w:sz w:val="32"/>
          <w:szCs w:val="32"/>
          <w:lang w:val="en-US" w:eastAsia="zh-CN"/>
        </w:rPr>
        <w:t>8</w:t>
      </w:r>
      <w:r>
        <w:rPr>
          <w:rFonts w:hint="eastAsia" w:ascii="仿宋" w:hAnsi="仿宋" w:eastAsia="仿宋"/>
          <w:sz w:val="32"/>
          <w:szCs w:val="32"/>
          <w:lang w:eastAsia="zh-CN"/>
        </w:rPr>
        <w:t>.基本支出：指为保障机构正常运转、完成日常工作任务而发生的人员支出和公用支出。</w:t>
      </w:r>
    </w:p>
    <w:p>
      <w:pPr>
        <w:spacing w:line="600" w:lineRule="exact"/>
        <w:ind w:firstLine="640"/>
        <w:rPr>
          <w:rFonts w:hint="eastAsia" w:ascii="仿宋" w:hAnsi="仿宋" w:eastAsia="仿宋"/>
          <w:sz w:val="32"/>
          <w:szCs w:val="32"/>
          <w:lang w:eastAsia="zh-CN"/>
        </w:rPr>
      </w:pPr>
    </w:p>
    <w:p>
      <w:pPr>
        <w:bidi w:val="0"/>
        <w:jc w:val="left"/>
        <w:rPr>
          <w:rFonts w:hint="default" w:ascii="Times New Roman" w:hAnsi="Times New Roman" w:eastAsia="宋体" w:cs="Times New Roman"/>
          <w:kern w:val="2"/>
          <w:sz w:val="21"/>
          <w:szCs w:val="24"/>
          <w:lang w:val="en-US" w:eastAsia="zh-CN" w:bidi="ar-SA"/>
        </w:rPr>
      </w:pPr>
    </w:p>
    <w:p>
      <w:pPr>
        <w:bidi w:val="0"/>
        <w:rPr>
          <w:rFonts w:hint="default" w:ascii="Times New Roman" w:hAnsi="Times New Roman" w:eastAsia="宋体" w:cs="Times New Roman"/>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6966"/>
        </w:tabs>
        <w:bidi w:val="0"/>
        <w:jc w:val="left"/>
        <w:rPr>
          <w:rFonts w:hint="eastAsia"/>
          <w:lang w:val="en-US" w:eastAsia="zh-CN"/>
        </w:rPr>
      </w:pPr>
      <w:r>
        <w:rPr>
          <w:rFonts w:hint="eastAsia"/>
          <w:lang w:val="en-US" w:eastAsia="zh-CN"/>
        </w:rPr>
        <w:tab/>
      </w:r>
    </w:p>
    <w:p>
      <w:pPr>
        <w:tabs>
          <w:tab w:val="left" w:pos="6966"/>
        </w:tabs>
        <w:bidi w:val="0"/>
        <w:jc w:val="left"/>
        <w:rPr>
          <w:rFonts w:hint="eastAsia"/>
          <w:lang w:val="en-US" w:eastAsia="zh-CN"/>
        </w:rPr>
      </w:pPr>
    </w:p>
    <w:p>
      <w:pPr>
        <w:tabs>
          <w:tab w:val="left" w:pos="6966"/>
        </w:tabs>
        <w:bidi w:val="0"/>
        <w:jc w:val="left"/>
        <w:rPr>
          <w:rFonts w:hint="eastAsia"/>
          <w:lang w:val="en-US" w:eastAsia="zh-CN"/>
        </w:rPr>
      </w:pPr>
    </w:p>
    <w:p>
      <w:pPr>
        <w:spacing w:line="600" w:lineRule="exact"/>
        <w:ind w:firstLine="640"/>
        <w:jc w:val="center"/>
        <w:outlineLvl w:val="0"/>
        <w:rPr>
          <w:rFonts w:hint="eastAsia" w:ascii="黑体" w:hAnsi="黑体" w:eastAsia="黑体" w:cs="黑体"/>
          <w:b w:val="0"/>
          <w:bCs w:val="0"/>
          <w:sz w:val="44"/>
          <w:szCs w:val="44"/>
        </w:rPr>
      </w:pPr>
      <w:bookmarkStart w:id="51" w:name="_Toc20229"/>
    </w:p>
    <w:p>
      <w:pPr>
        <w:spacing w:line="600" w:lineRule="exact"/>
        <w:ind w:firstLine="640"/>
        <w:jc w:val="center"/>
        <w:outlineLvl w:val="0"/>
        <w:rPr>
          <w:rFonts w:hint="eastAsia" w:ascii="黑体" w:hAnsi="黑体" w:eastAsia="黑体" w:cs="黑体"/>
          <w:b w:val="0"/>
          <w:bCs w:val="0"/>
          <w:sz w:val="44"/>
          <w:szCs w:val="44"/>
        </w:rPr>
      </w:pPr>
      <w:r>
        <w:rPr>
          <w:rFonts w:hint="eastAsia" w:ascii="黑体" w:hAnsi="黑体" w:eastAsia="黑体" w:cs="黑体"/>
          <w:b w:val="0"/>
          <w:bCs w:val="0"/>
          <w:sz w:val="44"/>
          <w:szCs w:val="44"/>
        </w:rPr>
        <w:t>第四部分 附表</w:t>
      </w:r>
      <w:bookmarkEnd w:id="51"/>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r>
        <w:rPr>
          <w:rFonts w:hint="eastAsia" w:ascii="仿宋" w:hAnsi="仿宋" w:eastAsia="仿宋"/>
          <w:sz w:val="32"/>
          <w:szCs w:val="32"/>
        </w:rPr>
        <w:t>一、收入支出决算总表</w:t>
      </w:r>
    </w:p>
    <w:p>
      <w:pPr>
        <w:spacing w:line="600" w:lineRule="exact"/>
        <w:ind w:firstLine="640"/>
        <w:rPr>
          <w:rFonts w:hint="eastAsia" w:ascii="仿宋" w:hAnsi="仿宋" w:eastAsia="仿宋"/>
          <w:sz w:val="32"/>
          <w:szCs w:val="32"/>
        </w:rPr>
      </w:pPr>
      <w:r>
        <w:rPr>
          <w:rFonts w:hint="eastAsia" w:ascii="仿宋" w:hAnsi="仿宋" w:eastAsia="仿宋"/>
          <w:sz w:val="32"/>
          <w:szCs w:val="32"/>
        </w:rPr>
        <w:t>二、收入总表</w:t>
      </w:r>
    </w:p>
    <w:p>
      <w:pPr>
        <w:spacing w:line="600" w:lineRule="exact"/>
        <w:ind w:firstLine="640"/>
        <w:rPr>
          <w:rFonts w:hint="eastAsia" w:ascii="仿宋" w:hAnsi="仿宋" w:eastAsia="仿宋"/>
          <w:sz w:val="32"/>
          <w:szCs w:val="32"/>
        </w:rPr>
      </w:pPr>
      <w:r>
        <w:rPr>
          <w:rFonts w:hint="eastAsia" w:ascii="仿宋" w:hAnsi="仿宋" w:eastAsia="仿宋"/>
          <w:sz w:val="32"/>
          <w:szCs w:val="32"/>
        </w:rPr>
        <w:t>三、支出总表</w:t>
      </w:r>
    </w:p>
    <w:p>
      <w:pPr>
        <w:spacing w:line="600" w:lineRule="exact"/>
        <w:ind w:firstLine="640"/>
        <w:rPr>
          <w:rFonts w:hint="eastAsia" w:ascii="仿宋" w:hAnsi="仿宋" w:eastAsia="仿宋"/>
          <w:sz w:val="32"/>
          <w:szCs w:val="32"/>
        </w:rPr>
      </w:pPr>
      <w:r>
        <w:rPr>
          <w:rFonts w:hint="eastAsia" w:ascii="仿宋" w:hAnsi="仿宋" w:eastAsia="仿宋"/>
          <w:sz w:val="32"/>
          <w:szCs w:val="32"/>
        </w:rPr>
        <w:t>四、财政拨款收入支出决算总表</w:t>
      </w:r>
    </w:p>
    <w:p>
      <w:pPr>
        <w:spacing w:line="600" w:lineRule="exact"/>
        <w:ind w:firstLine="640"/>
        <w:rPr>
          <w:rFonts w:hint="eastAsia" w:ascii="仿宋" w:hAnsi="仿宋" w:eastAsia="仿宋"/>
          <w:sz w:val="32"/>
          <w:szCs w:val="32"/>
        </w:rPr>
      </w:pPr>
      <w:r>
        <w:rPr>
          <w:rFonts w:hint="eastAsia" w:ascii="仿宋" w:hAnsi="仿宋" w:eastAsia="仿宋"/>
          <w:sz w:val="32"/>
          <w:szCs w:val="32"/>
        </w:rPr>
        <w:t>五、财政拨款支出决算明细表（政府经济分类科目）</w:t>
      </w:r>
    </w:p>
    <w:p>
      <w:pPr>
        <w:spacing w:line="600" w:lineRule="exact"/>
        <w:ind w:firstLine="640"/>
        <w:rPr>
          <w:rFonts w:hint="eastAsia" w:ascii="仿宋" w:hAnsi="仿宋" w:eastAsia="仿宋"/>
          <w:sz w:val="32"/>
          <w:szCs w:val="32"/>
        </w:rPr>
      </w:pPr>
      <w:r>
        <w:rPr>
          <w:rFonts w:hint="eastAsia" w:ascii="仿宋" w:hAnsi="仿宋" w:eastAsia="仿宋"/>
          <w:sz w:val="32"/>
          <w:szCs w:val="32"/>
        </w:rPr>
        <w:t>六、一般公共预算财政拨款支出决算表</w:t>
      </w:r>
    </w:p>
    <w:p>
      <w:pPr>
        <w:spacing w:line="600" w:lineRule="exact"/>
        <w:ind w:firstLine="640"/>
        <w:rPr>
          <w:rFonts w:hint="eastAsia" w:ascii="仿宋" w:hAnsi="仿宋" w:eastAsia="仿宋"/>
          <w:sz w:val="32"/>
          <w:szCs w:val="32"/>
        </w:rPr>
      </w:pPr>
      <w:r>
        <w:rPr>
          <w:rFonts w:hint="eastAsia" w:ascii="仿宋" w:hAnsi="仿宋" w:eastAsia="仿宋"/>
          <w:sz w:val="32"/>
          <w:szCs w:val="32"/>
        </w:rPr>
        <w:t>七、一般公共预算财政拨款支出决算明细表</w:t>
      </w:r>
    </w:p>
    <w:p>
      <w:pPr>
        <w:spacing w:line="600" w:lineRule="exact"/>
        <w:ind w:firstLine="640"/>
        <w:rPr>
          <w:rFonts w:hint="eastAsia" w:ascii="仿宋" w:hAnsi="仿宋" w:eastAsia="仿宋"/>
          <w:sz w:val="32"/>
          <w:szCs w:val="32"/>
        </w:rPr>
      </w:pPr>
      <w:r>
        <w:rPr>
          <w:rFonts w:hint="eastAsia" w:ascii="仿宋" w:hAnsi="仿宋" w:eastAsia="仿宋"/>
          <w:sz w:val="32"/>
          <w:szCs w:val="32"/>
        </w:rPr>
        <w:t>八、一般公共预算财政拨款基本支出决算表</w:t>
      </w:r>
    </w:p>
    <w:p>
      <w:pPr>
        <w:spacing w:line="600" w:lineRule="exact"/>
        <w:ind w:firstLine="640"/>
        <w:rPr>
          <w:rFonts w:hint="eastAsia" w:ascii="仿宋" w:hAnsi="仿宋" w:eastAsia="仿宋"/>
          <w:sz w:val="32"/>
          <w:szCs w:val="32"/>
        </w:rPr>
      </w:pPr>
      <w:r>
        <w:rPr>
          <w:rFonts w:hint="eastAsia" w:ascii="仿宋" w:hAnsi="仿宋" w:eastAsia="仿宋"/>
          <w:sz w:val="32"/>
          <w:szCs w:val="32"/>
        </w:rPr>
        <w:t>九、一般公共预算财政拨款项目支出决算表</w:t>
      </w:r>
    </w:p>
    <w:p>
      <w:pPr>
        <w:spacing w:line="600" w:lineRule="exact"/>
        <w:ind w:firstLine="640"/>
        <w:rPr>
          <w:rFonts w:hint="eastAsia" w:ascii="仿宋" w:hAnsi="仿宋" w:eastAsia="仿宋"/>
          <w:sz w:val="32"/>
          <w:szCs w:val="32"/>
        </w:rPr>
      </w:pPr>
      <w:r>
        <w:rPr>
          <w:rFonts w:hint="eastAsia" w:ascii="仿宋" w:hAnsi="仿宋" w:eastAsia="仿宋"/>
          <w:sz w:val="32"/>
          <w:szCs w:val="32"/>
        </w:rPr>
        <w:t>十、一般公共预算财政拨款“三公”经费支出决算表</w:t>
      </w:r>
    </w:p>
    <w:p>
      <w:pPr>
        <w:spacing w:line="600" w:lineRule="exact"/>
        <w:ind w:firstLine="640"/>
        <w:rPr>
          <w:rFonts w:hint="eastAsia" w:ascii="仿宋" w:hAnsi="仿宋" w:eastAsia="仿宋"/>
          <w:sz w:val="32"/>
          <w:szCs w:val="32"/>
        </w:rPr>
      </w:pPr>
      <w:r>
        <w:rPr>
          <w:rFonts w:hint="eastAsia" w:ascii="仿宋" w:hAnsi="仿宋" w:eastAsia="仿宋"/>
          <w:sz w:val="32"/>
          <w:szCs w:val="32"/>
        </w:rPr>
        <w:t>十一、政府性基金预算财政拨款收入支出决算表</w:t>
      </w:r>
    </w:p>
    <w:p>
      <w:pPr>
        <w:spacing w:line="600" w:lineRule="exact"/>
        <w:ind w:firstLine="640"/>
        <w:rPr>
          <w:rFonts w:hint="eastAsia" w:ascii="仿宋" w:hAnsi="仿宋" w:eastAsia="仿宋"/>
          <w:sz w:val="32"/>
          <w:szCs w:val="32"/>
        </w:rPr>
      </w:pPr>
      <w:r>
        <w:rPr>
          <w:rFonts w:hint="eastAsia" w:ascii="仿宋" w:hAnsi="仿宋" w:eastAsia="仿宋"/>
          <w:sz w:val="32"/>
          <w:szCs w:val="32"/>
        </w:rPr>
        <w:t>十二、政府性基金预算财政拨款“三公”经费支出决算表</w:t>
      </w:r>
    </w:p>
    <w:p>
      <w:pPr>
        <w:spacing w:line="600" w:lineRule="exact"/>
        <w:ind w:firstLine="640"/>
        <w:rPr>
          <w:rFonts w:hint="eastAsia" w:ascii="仿宋" w:hAnsi="仿宋" w:eastAsia="仿宋"/>
          <w:sz w:val="32"/>
          <w:szCs w:val="32"/>
        </w:rPr>
      </w:pPr>
      <w:r>
        <w:rPr>
          <w:rFonts w:hint="eastAsia" w:ascii="仿宋" w:hAnsi="仿宋" w:eastAsia="仿宋"/>
          <w:sz w:val="32"/>
          <w:szCs w:val="32"/>
        </w:rPr>
        <w:t>十三、国有资本经营预算支出决算表</w:t>
      </w:r>
    </w:p>
    <w:p>
      <w:pPr>
        <w:tabs>
          <w:tab w:val="left" w:pos="6966"/>
        </w:tabs>
        <w:bidi w:val="0"/>
        <w:jc w:val="left"/>
        <w:rPr>
          <w:rFonts w:hint="default"/>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5B2AA0"/>
    <w:multiLevelType w:val="singleLevel"/>
    <w:tmpl w:val="CA5B2AA0"/>
    <w:lvl w:ilvl="0" w:tentative="0">
      <w:start w:val="5"/>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325B6"/>
    <w:rsid w:val="02482124"/>
    <w:rsid w:val="04C74FF6"/>
    <w:rsid w:val="06BA0611"/>
    <w:rsid w:val="10CE05D0"/>
    <w:rsid w:val="14C82CBE"/>
    <w:rsid w:val="15A435F7"/>
    <w:rsid w:val="187A2E3B"/>
    <w:rsid w:val="19054A1E"/>
    <w:rsid w:val="1B5A781B"/>
    <w:rsid w:val="240325B6"/>
    <w:rsid w:val="24E36F0E"/>
    <w:rsid w:val="26C361F3"/>
    <w:rsid w:val="274B6FF6"/>
    <w:rsid w:val="274E001C"/>
    <w:rsid w:val="300F27B8"/>
    <w:rsid w:val="328A2AC8"/>
    <w:rsid w:val="36682912"/>
    <w:rsid w:val="3772002D"/>
    <w:rsid w:val="381A267C"/>
    <w:rsid w:val="3D4A73B6"/>
    <w:rsid w:val="3EFE53F1"/>
    <w:rsid w:val="3F806845"/>
    <w:rsid w:val="489E23EE"/>
    <w:rsid w:val="49612922"/>
    <w:rsid w:val="4ADA1735"/>
    <w:rsid w:val="4BD17F24"/>
    <w:rsid w:val="4EF926FF"/>
    <w:rsid w:val="52A25495"/>
    <w:rsid w:val="53B17BB3"/>
    <w:rsid w:val="625076F3"/>
    <w:rsid w:val="672D2C5B"/>
    <w:rsid w:val="67914BA4"/>
    <w:rsid w:val="6BD242BC"/>
    <w:rsid w:val="6BE234B8"/>
    <w:rsid w:val="6D8703B0"/>
    <w:rsid w:val="6E37271F"/>
    <w:rsid w:val="6E6357AE"/>
    <w:rsid w:val="702D26BD"/>
    <w:rsid w:val="751940DE"/>
    <w:rsid w:val="76C43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93" w:beforeLines="30"/>
    </w:pPr>
    <w:rPr>
      <w:rFonts w:ascii="仿宋_GB2312" w:eastAsia="仿宋_GB2312"/>
      <w:kern w:val="0"/>
      <w:sz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delete val="1"/>
          </c:dLbls>
          <c:cat>
            <c:strRef>
              <c:f>Sheet1!$A$2:$A$3</c:f>
              <c:strCache>
                <c:ptCount val="2"/>
                <c:pt idx="0">
                  <c:v>收入</c:v>
                </c:pt>
                <c:pt idx="1">
                  <c:v>支出</c:v>
                </c:pt>
              </c:strCache>
            </c:strRef>
          </c:cat>
          <c:val>
            <c:numRef>
              <c:f>Sheet1!$B$2:$B$3</c:f>
              <c:numCache>
                <c:formatCode>General</c:formatCode>
                <c:ptCount val="2"/>
                <c:pt idx="0">
                  <c:v>1176.56</c:v>
                </c:pt>
                <c:pt idx="1">
                  <c:v>1176.56</c:v>
                </c:pt>
              </c:numCache>
            </c:numRef>
          </c:val>
        </c:ser>
        <c:ser>
          <c:idx val="1"/>
          <c:order val="1"/>
          <c:tx>
            <c:strRef>
              <c:f>Sheet1!$C$1</c:f>
              <c:strCache>
                <c:ptCount val="1"/>
                <c:pt idx="0">
                  <c:v>2019</c:v>
                </c:pt>
              </c:strCache>
            </c:strRef>
          </c:tx>
          <c:spPr>
            <a:solidFill>
              <a:schemeClr val="accent2"/>
            </a:solidFill>
            <a:ln>
              <a:noFill/>
            </a:ln>
            <a:effectLst/>
          </c:spPr>
          <c:invertIfNegative val="0"/>
          <c:dLbls>
            <c:delete val="1"/>
          </c:dLbls>
          <c:cat>
            <c:strRef>
              <c:f>Sheet1!$A$2:$A$3</c:f>
              <c:strCache>
                <c:ptCount val="2"/>
                <c:pt idx="0">
                  <c:v>收入</c:v>
                </c:pt>
                <c:pt idx="1">
                  <c:v>支出</c:v>
                </c:pt>
              </c:strCache>
            </c:strRef>
          </c:cat>
          <c:val>
            <c:numRef>
              <c:f>Sheet1!$C$2:$C$3</c:f>
              <c:numCache>
                <c:formatCode>General</c:formatCode>
                <c:ptCount val="2"/>
                <c:pt idx="0">
                  <c:v>1505.87</c:v>
                </c:pt>
                <c:pt idx="1">
                  <c:v>1505.87</c:v>
                </c:pt>
              </c:numCache>
            </c:numRef>
          </c:val>
        </c:ser>
        <c:dLbls>
          <c:showLegendKey val="0"/>
          <c:showVal val="0"/>
          <c:showCatName val="0"/>
          <c:showSerName val="0"/>
          <c:showPercent val="0"/>
          <c:showBubbleSize val="0"/>
        </c:dLbls>
        <c:gapWidth val="219"/>
        <c:overlap val="-27"/>
        <c:axId val="985327324"/>
        <c:axId val="969649258"/>
      </c:barChart>
      <c:catAx>
        <c:axId val="9853273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9649258"/>
        <c:crosses val="autoZero"/>
        <c:auto val="1"/>
        <c:lblAlgn val="ctr"/>
        <c:lblOffset val="100"/>
        <c:noMultiLvlLbl val="0"/>
      </c:catAx>
      <c:valAx>
        <c:axId val="96964925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53273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spPr/>
          <c:explosion val="0"/>
          <c:dPt>
            <c:idx val="0"/>
            <c:bubble3D val="0"/>
            <c:spPr>
              <a:solidFill>
                <a:schemeClr val="accent1"/>
              </a:solidFill>
              <a:ln w="19050">
                <a:solidFill>
                  <a:schemeClr val="lt1"/>
                </a:solidFill>
              </a:ln>
              <a:effectLst/>
            </c:spPr>
          </c:dPt>
          <c:dLbls>
            <c:dLbl>
              <c:idx val="0"/>
              <c:layout>
                <c:manualLayout>
                  <c:x val="-0.013126070254171"/>
                  <c:y val="-0.26853123726422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一般公共预算财政拨款收入</c:v>
                </c:pt>
              </c:strCache>
            </c:strRef>
          </c:cat>
          <c:val>
            <c:numRef>
              <c:f>Sheet1!$B$2</c:f>
              <c:numCache>
                <c:formatCode>General</c:formatCode>
                <c:ptCount val="1"/>
                <c:pt idx="0">
                  <c:v>1505.87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支出决算结构分析图</a:t>
            </a:r>
          </a:p>
        </c:rich>
      </c:tx>
      <c:layout/>
      <c:overlay val="0"/>
      <c:spPr>
        <a:noFill/>
        <a:ln>
          <a:noFill/>
        </a:ln>
        <a:effectLst/>
      </c:spPr>
    </c:title>
    <c:autoTitleDeleted val="0"/>
    <c:plotArea>
      <c:layout/>
      <c:pieChart>
        <c:varyColors val="1"/>
        <c:ser>
          <c:idx val="0"/>
          <c:order val="0"/>
          <c:tx>
            <c:strRef>
              <c:f>Sheet1!$B$1</c:f>
              <c:strCache>
                <c:ptCount val="1"/>
                <c:pt idx="0">
                  <c:v>费用结构分析图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332978537619435"/>
                  <c:y val="0.11791066593555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639664751136384"/>
                  <c:y val="-0.12437249464161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82752114371529"/>
                  <c:y val="0.1033807703493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工资福利支出</c:v>
                </c:pt>
                <c:pt idx="1">
                  <c:v>商品和服务支出</c:v>
                </c:pt>
                <c:pt idx="2">
                  <c:v>个人和家庭的补助支出</c:v>
                </c:pt>
                <c:pt idx="3">
                  <c:v>资本性支出</c:v>
                </c:pt>
              </c:strCache>
            </c:strRef>
          </c:cat>
          <c:val>
            <c:numRef>
              <c:f>Sheet1!$B$2:$B$5</c:f>
              <c:numCache>
                <c:formatCode>General</c:formatCode>
                <c:ptCount val="4"/>
                <c:pt idx="0">
                  <c:v>163.83</c:v>
                </c:pt>
                <c:pt idx="1">
                  <c:v>844.85</c:v>
                </c:pt>
                <c:pt idx="2">
                  <c:v>468.32</c:v>
                </c:pt>
                <c:pt idx="3">
                  <c:v>28.87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delete val="1"/>
          </c:dLbls>
          <c:cat>
            <c:strRef>
              <c:f>Sheet1!$A$2:$A$3</c:f>
              <c:strCache>
                <c:ptCount val="2"/>
                <c:pt idx="0">
                  <c:v>收入</c:v>
                </c:pt>
                <c:pt idx="1">
                  <c:v>支出</c:v>
                </c:pt>
              </c:strCache>
            </c:strRef>
          </c:cat>
          <c:val>
            <c:numRef>
              <c:f>Sheet1!$B$2:$B$3</c:f>
              <c:numCache>
                <c:formatCode>General</c:formatCode>
                <c:ptCount val="2"/>
                <c:pt idx="0">
                  <c:v>1176.56</c:v>
                </c:pt>
                <c:pt idx="1">
                  <c:v>1176.56</c:v>
                </c:pt>
              </c:numCache>
            </c:numRef>
          </c:val>
        </c:ser>
        <c:ser>
          <c:idx val="1"/>
          <c:order val="1"/>
          <c:tx>
            <c:strRef>
              <c:f>Sheet1!$C$1</c:f>
              <c:strCache>
                <c:ptCount val="1"/>
                <c:pt idx="0">
                  <c:v>2019</c:v>
                </c:pt>
              </c:strCache>
            </c:strRef>
          </c:tx>
          <c:spPr>
            <a:solidFill>
              <a:schemeClr val="accent2"/>
            </a:solidFill>
            <a:ln>
              <a:noFill/>
            </a:ln>
            <a:effectLst/>
          </c:spPr>
          <c:invertIfNegative val="0"/>
          <c:dLbls>
            <c:delete val="1"/>
          </c:dLbls>
          <c:cat>
            <c:strRef>
              <c:f>Sheet1!$A$2:$A$3</c:f>
              <c:strCache>
                <c:ptCount val="2"/>
                <c:pt idx="0">
                  <c:v>收入</c:v>
                </c:pt>
                <c:pt idx="1">
                  <c:v>支出</c:v>
                </c:pt>
              </c:strCache>
            </c:strRef>
          </c:cat>
          <c:val>
            <c:numRef>
              <c:f>Sheet1!$C$2:$C$3</c:f>
              <c:numCache>
                <c:formatCode>General</c:formatCode>
                <c:ptCount val="2"/>
                <c:pt idx="0">
                  <c:v>1505.87</c:v>
                </c:pt>
                <c:pt idx="1">
                  <c:v>1505.87</c:v>
                </c:pt>
              </c:numCache>
            </c:numRef>
          </c:val>
        </c:ser>
        <c:dLbls>
          <c:showLegendKey val="0"/>
          <c:showVal val="0"/>
          <c:showCatName val="0"/>
          <c:showSerName val="0"/>
          <c:showPercent val="0"/>
          <c:showBubbleSize val="0"/>
        </c:dLbls>
        <c:gapWidth val="219"/>
        <c:overlap val="-27"/>
        <c:axId val="985327324"/>
        <c:axId val="969649258"/>
      </c:barChart>
      <c:catAx>
        <c:axId val="9853273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9649258"/>
        <c:crosses val="autoZero"/>
        <c:auto val="1"/>
        <c:lblAlgn val="ctr"/>
        <c:lblOffset val="100"/>
        <c:noMultiLvlLbl val="0"/>
      </c:catAx>
      <c:valAx>
        <c:axId val="96964925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53273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a:t>
            </a:r>
          </a:p>
        </c:rich>
      </c:tx>
      <c:layout>
        <c:manualLayout>
          <c:xMode val="edge"/>
          <c:yMode val="edge"/>
          <c:x val="0.284323640960809"/>
          <c:y val="0.0377290693496227"/>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manualLayout>
                  <c:x val="-0.00961961186561001"/>
                  <c:y val="0.022696759136837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225214385045276"/>
                  <c:y val="0.0065336856778656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社会保障和就业支出</c:v>
                </c:pt>
                <c:pt idx="1">
                  <c:v>卫生健康支出</c:v>
                </c:pt>
                <c:pt idx="2">
                  <c:v>住房保障支出</c:v>
                </c:pt>
              </c:strCache>
            </c:strRef>
          </c:cat>
          <c:val>
            <c:numRef>
              <c:f>Sheet1!$B$2:$B$4</c:f>
              <c:numCache>
                <c:formatCode>General</c:formatCode>
                <c:ptCount val="3"/>
                <c:pt idx="0">
                  <c:v>1483.48</c:v>
                </c:pt>
                <c:pt idx="1">
                  <c:v>10.47</c:v>
                </c:pt>
                <c:pt idx="2">
                  <c:v>11.9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2021-06-15T08:49:00Z</dcterms:created>
  <dc:creator>.</dc:creator>
  <cp:lastModifiedBy>.</cp:lastModifiedBy>
  <dcterms:modified xsi:type="dcterms:W3CDTF">2021-06-16T08:33:15Z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C3C7B45000234011B9393883CB296F8D</vt:lpwstr>
  </property>
  <property fmtid="{D5CDD505-2E9C-101B-9397-08002B2CF9AE}" pid="4" name="KSOSaveFontToCloudKey">
    <vt:lpwstr>639068948_btnclosed</vt:lpwstr>
  </property>
</Properties>
</file>