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>光明寺村新建泥碎路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zh-CN"/>
        </w:rPr>
        <w:t>项目</w:t>
      </w:r>
      <w:r>
        <w:rPr>
          <w:rFonts w:ascii="方正小标宋简体" w:hAnsi="宋体" w:eastAsia="方正小标宋简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zh-CN"/>
        </w:rPr>
        <w:t>绩效评价报告</w:t>
      </w:r>
    </w:p>
    <w:p>
      <w:pPr>
        <w:spacing w:line="600" w:lineRule="exact"/>
        <w:rPr>
          <w:rFonts w:ascii="宋体"/>
          <w:sz w:val="32"/>
          <w:szCs w:val="32"/>
          <w:lang w:val="zh-CN"/>
        </w:rPr>
      </w:pP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val="zh-CN"/>
        </w:rPr>
        <w:t>项目概况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（一）项目基本情况。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  <w:lang w:val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名称：新建光明寺村4公里泥碎路工程，项目主管单位为开江县讲治镇光明寺村民委员会，负责向承建方提供设计方案，协调工程施工中出现的矛盾纠纷及工程占地等工程必须，以及负责工程质量监督和协调组织验收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ascii="仿宋_GB2312" w:hAnsi="宋体" w:eastAsia="仿宋_GB2312"/>
          <w:sz w:val="32"/>
          <w:szCs w:val="32"/>
          <w:lang w:val="zh-CN"/>
        </w:rPr>
        <w:t>2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．项目立项、资金申报的依据：开财农[2020]53号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32"/>
          <w:lang w:val="zh-CN"/>
        </w:rPr>
        <w:t>3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．资金管理办法制定情况，资金支持具体项目的条件、范围与支持方式概况。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4月23日在光明寺村办公室召开一事一议实施方案会议，由刘顺国主持，应到32户、实到32户，经表决通过项目建设方案，同意32户。成立村民们理财小组和项目监督小组，通过会议选举产生村名理财小组组长：陈天相，成员：陈天书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向；项目监督小组组长：李仁书，成员：陈天文、梁经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对项目资金进行管理。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420" w:firstLineChars="0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资金分配的原则及考虑因素。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420" w:leftChars="0" w:firstLine="320" w:firstLineChars="1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项目资金财政资金40万元。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（二）项目绩效目标。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ascii="仿宋_GB2312" w:hAnsi="宋体" w:eastAsia="仿宋_GB2312"/>
          <w:sz w:val="32"/>
          <w:szCs w:val="32"/>
          <w:lang w:val="zh-CN"/>
        </w:rPr>
        <w:t>1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．项目主要内容。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新建泥碎路4公里，宽4米。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项目应实现的具体绩效目标，包括目标的量化、细化情况以及项目实施进度计划等。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zh-CN" w:eastAsia="zh-CN"/>
        </w:rPr>
        <w:t xml:space="preserve"> 应于2020年8月30日前，用涉农整合资金40万新建泥碎路4公里，方便群众出行，增加农民收入效益，提高农民生活质量水平，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督促村民做好道路养护。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分析评价申报内容是否与实际相符，申报目标是否合理可行。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根据对该项目进行预期绩效评估，项目绩效评价申报内容与实际相符，申报目标合理可行。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（三）项目自评步骤及方法。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根据预算绩效管理要求，本单位组织对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开展了预算事前绩效评估，编制了绩效目标，预算执行过程中，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项目开展绩效监控，年终执行完毕后，对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个项目开展了绩效目标完成情况自评。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二、项目资金申报及使用情况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（一）项目资金申报及批复情况。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明寺村委会在接到村民反馈及申请（请求新建泥碎路方便出行及生产生活）后，向讲治镇政府申请该工程项目，后由政府向农业农村局出具项目申请报告，经县农业农村局审批通过后，镇政府再向县财政局申请资金，县财政局批复通过后下达财政资金到乡镇，乡镇根据工程完工情况拨付款项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（二）资金计划、到位及使用情况（可用表格形式反映）。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ascii="楷体_GB2312" w:hAnsi="宋体" w:eastAsia="楷体_GB2312"/>
          <w:sz w:val="32"/>
          <w:szCs w:val="32"/>
          <w:lang w:val="zh-CN"/>
        </w:rPr>
        <w:t>1</w:t>
      </w:r>
      <w:r>
        <w:rPr>
          <w:rFonts w:hint="eastAsia" w:ascii="楷体_GB2312" w:hAnsi="宋体" w:eastAsia="楷体_GB2312"/>
          <w:sz w:val="32"/>
          <w:szCs w:val="32"/>
          <w:lang w:val="zh-CN"/>
        </w:rPr>
        <w:t>．资金计划。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该项目系2020年涉农整合资金，市级扶贫项目。资金总额为40万元。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ascii="楷体_GB2312" w:hAnsi="宋体" w:eastAsia="楷体_GB2312"/>
          <w:sz w:val="32"/>
          <w:szCs w:val="32"/>
          <w:lang w:val="zh-CN"/>
        </w:rPr>
        <w:t>2</w:t>
      </w:r>
      <w:r>
        <w:rPr>
          <w:rFonts w:hint="eastAsia" w:ascii="楷体_GB2312" w:hAnsi="宋体" w:eastAsia="楷体_GB2312"/>
          <w:sz w:val="32"/>
          <w:szCs w:val="32"/>
          <w:lang w:val="zh-CN"/>
        </w:rPr>
        <w:t>．资金到位。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截止评价时点，该项目已全额拨付到位，与资金计划吻合。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ascii="楷体_GB2312" w:hAnsi="宋体" w:eastAsia="楷体_GB2312"/>
          <w:sz w:val="32"/>
          <w:szCs w:val="32"/>
          <w:lang w:val="zh-CN"/>
        </w:rPr>
        <w:t>3</w:t>
      </w:r>
      <w:r>
        <w:rPr>
          <w:rFonts w:hint="eastAsia" w:ascii="楷体_GB2312" w:hAnsi="宋体" w:eastAsia="楷体_GB2312"/>
          <w:sz w:val="32"/>
          <w:szCs w:val="32"/>
          <w:lang w:val="zh-CN"/>
        </w:rPr>
        <w:t>．资金使用。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截止评价时点，该项目已全额拨付到施工方，其工程项目已完工验收，并验收合格，符合资金拨付要求，与预算绩效管理要求一致。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（三）项目财务管理情况。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项目实施单位财务管理制度健全，严格执行财务管理制度，账务处理及时，会计核算规范。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三、项目实施及管理情况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  <w:lang w:val="zh-CN"/>
        </w:rPr>
        <w:t>结合项目组织实施管理办法，重点围绕以下内容进行分析评价，并对自评中发现的问题分析说明。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（一）项目组织架构及实施流程。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（二）项目管理情况。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结合项目特点，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项目实施单位执行相关法律法规及项目管理制度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相关规定。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（三）项目监管情况。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主管单位为开江县讲治镇光明寺村民委员会，负责向承建方提供设计方案，协调工程施工中出现的矛盾纠纷及工程占地等工程必须，以及负责工程质量监督和协调组织验收。项目监管单位为讲治镇人民政府，对该项目实施监管，并组织验收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四、项目绩效情况</w:t>
      </w:r>
      <w:r>
        <w:rPr>
          <w:rFonts w:ascii="仿宋_GB2312" w:hAnsi="宋体" w:eastAsia="仿宋_GB2312"/>
          <w:sz w:val="32"/>
          <w:szCs w:val="32"/>
          <w:lang w:val="zh-CN"/>
        </w:rPr>
        <w:tab/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（一）项目完成情况。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项目完成内容：新建泥碎路4公里，宽4米。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项目完成质量：按国家标准按质按量完成。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项目完成时效：按照合同要求，已按时完成合同内容。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项目完成成本：工程造价40万。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截止评价时点，该工程项目符合预算绩效管理要求，与预算评估一致。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（二）项目效益情况。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项目带来的经济效益主要是为村民增收，方便群众出行，解决了出行难的问题。村民满意度超98%。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五、评价结论及建议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（一）评价结论。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截止评价时点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从评价情况来看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它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预期的经济效益、社会效益、生态效益、可持续性以及满意度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均达到了预期绩效，实施该项目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推进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基础设施建设，提高经济效益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道路、水利等基础设施建设稳步推进，为讲治镇经济发展提供了客观条件；进一步推行乡镇、农村发展进程，深化为人民服务宗旨，坚持为群众办实事、办好事，切实解决人民群众实际困难。实现可持续发展的生态工程，依托规模种养基地建设、保护环境、倡导绿色环保等打造绿色产业链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（二）存在的问题。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ab/>
      </w:r>
      <w:r>
        <w:rPr>
          <w:rFonts w:ascii="仿宋_GB2312" w:hAnsi="宋体" w:eastAsia="仿宋_GB2312"/>
          <w:sz w:val="32"/>
          <w:szCs w:val="32"/>
          <w:lang w:val="zh-CN"/>
        </w:rPr>
        <w:tab/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（三）相关建议。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right="0" w:firstLine="640" w:firstLineChars="200"/>
        <w:jc w:val="left"/>
        <w:rPr>
          <w:rFonts w:hint="eastAsia" w:ascii="仿宋_GB2312" w:hAnsi="Times New Roman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"/>
          <w:color w:val="000000"/>
          <w:kern w:val="0"/>
          <w:sz w:val="32"/>
          <w:szCs w:val="32"/>
          <w:lang w:val="en-US" w:eastAsia="zh-CN" w:bidi="ar-SA"/>
        </w:rPr>
        <w:t>1、建议财政部门加强对各个单位财务人员业务培训，促进部门财务工作的相互交流学习。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000000"/>
          <w:kern w:val="0"/>
          <w:sz w:val="32"/>
          <w:szCs w:val="32"/>
          <w:lang w:val="en-US" w:eastAsia="zh-CN" w:bidi="ar-SA"/>
        </w:rPr>
        <w:t>2、督促本单位财务人员加强自身业务学习，提高责任意识和服务意识，进一步提升财务管理水平。</w:t>
      </w:r>
    </w:p>
    <w:p>
      <w:pPr>
        <w:ind w:firstLine="640" w:firstLineChars="2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3.加大绩效管理工作宣传，提高认识。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76A6F"/>
    <w:multiLevelType w:val="singleLevel"/>
    <w:tmpl w:val="FF176A6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239DC9"/>
    <w:multiLevelType w:val="singleLevel"/>
    <w:tmpl w:val="75239D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72007"/>
    <w:rsid w:val="0A1E2A77"/>
    <w:rsid w:val="13DA5F13"/>
    <w:rsid w:val="18595E18"/>
    <w:rsid w:val="28451548"/>
    <w:rsid w:val="3D7F40E1"/>
    <w:rsid w:val="68A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939</Words>
  <Characters>962</Characters>
  <Paragraphs>36</Paragraphs>
  <TotalTime>0</TotalTime>
  <ScaleCrop>false</ScaleCrop>
  <LinksUpToDate>false</LinksUpToDate>
  <CharactersWithSpaces>965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2020-09-24T03:34:00Z</dcterms:created>
  <dc:creator>Administrator</dc:creator>
  <cp:lastModifiedBy>奥利奥</cp:lastModifiedBy>
  <cp:lastPrinted>2021-01-06T05:58:00Z</cp:lastPrinted>
  <dcterms:modified xsi:type="dcterms:W3CDTF">2021-10-29T02:46:50Z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7AAF28A3C50D4688908F37DA159402B1</vt:lpwstr>
  </property>
</Properties>
</file>