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r>
        <w:rPr>
          <w:rFonts w:hint="eastAsia" w:ascii="方正小标宋简体" w:hAnsi="宋体" w:eastAsia="方正小标宋简体"/>
          <w:color w:val="000000"/>
          <w:sz w:val="30"/>
          <w:szCs w:val="30"/>
        </w:rPr>
        <w:t>附件</w:t>
      </w:r>
      <w:r>
        <w:rPr>
          <w:rFonts w:ascii="方正小标宋简体" w:hAnsi="宋体" w:eastAsia="方正小标宋简体"/>
          <w:color w:val="000000"/>
          <w:sz w:val="30"/>
          <w:szCs w:val="30"/>
        </w:rPr>
        <w:t>4</w:t>
      </w: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pacing w:val="7"/>
          <w:w w:val="95"/>
          <w:kern w:val="0"/>
          <w:sz w:val="72"/>
          <w:szCs w:val="72"/>
        </w:rPr>
      </w:pPr>
      <w:bookmarkStart w:id="1" w:name="_Toc15377426"/>
      <w:bookmarkStart w:id="2" w:name="_Toc15378442"/>
      <w:bookmarkStart w:id="3" w:name="_Toc15396476"/>
      <w:bookmarkStart w:id="4" w:name="_Toc15396598"/>
      <w:bookmarkStart w:id="5" w:name="_Toc15377194"/>
      <w:r>
        <w:rPr>
          <w:rFonts w:hint="eastAsia" w:ascii="方正小标宋简体" w:hAnsi="宋体" w:eastAsia="方正小标宋简体"/>
          <w:color w:val="000000"/>
          <w:spacing w:val="1"/>
          <w:w w:val="96"/>
          <w:kern w:val="0"/>
          <w:sz w:val="72"/>
          <w:szCs w:val="72"/>
          <w:fitText w:val="6974" w:id="-1696326912"/>
        </w:rPr>
        <w:t>四川省</w:t>
      </w:r>
      <w:bookmarkEnd w:id="0"/>
      <w:bookmarkStart w:id="6" w:name="_Toc15306268"/>
      <w:r>
        <w:rPr>
          <w:rFonts w:hint="eastAsia" w:ascii="方正小标宋简体" w:hAnsi="宋体" w:eastAsia="方正小标宋简体"/>
          <w:color w:val="000000"/>
          <w:spacing w:val="1"/>
          <w:w w:val="96"/>
          <w:kern w:val="0"/>
          <w:sz w:val="72"/>
          <w:szCs w:val="72"/>
          <w:fitText w:val="6974" w:id="-1696326912"/>
        </w:rPr>
        <w:t>开江县人民医</w:t>
      </w:r>
      <w:r>
        <w:rPr>
          <w:rFonts w:hint="eastAsia" w:ascii="方正小标宋简体" w:hAnsi="宋体" w:eastAsia="方正小标宋简体"/>
          <w:color w:val="000000"/>
          <w:spacing w:val="47"/>
          <w:w w:val="96"/>
          <w:kern w:val="0"/>
          <w:sz w:val="72"/>
          <w:szCs w:val="72"/>
          <w:fitText w:val="6974" w:id="-1696326912"/>
        </w:rPr>
        <w:t>院</w:t>
      </w:r>
    </w:p>
    <w:p>
      <w:pPr>
        <w:adjustRightInd w:val="0"/>
        <w:snapToGrid w:val="0"/>
        <w:spacing w:line="360" w:lineRule="auto"/>
        <w:jc w:val="center"/>
        <w:outlineLvl w:val="0"/>
        <w:rPr>
          <w:rFonts w:ascii="方正小标宋简体" w:hAnsi="宋体" w:eastAsia="方正小标宋简体"/>
          <w:color w:val="000000"/>
          <w:kern w:val="0"/>
          <w:sz w:val="72"/>
          <w:szCs w:val="72"/>
        </w:rPr>
      </w:pPr>
      <w:r>
        <w:rPr>
          <w:rFonts w:hint="eastAsia" w:ascii="方正小标宋简体" w:hAnsi="宋体" w:eastAsia="方正小标宋简体"/>
          <w:color w:val="000000"/>
          <w:spacing w:val="1"/>
          <w:w w:val="90"/>
          <w:kern w:val="0"/>
          <w:sz w:val="72"/>
          <w:szCs w:val="72"/>
          <w:fitText w:val="1307" w:id="-1696326911"/>
        </w:rPr>
        <w:t>决</w:t>
      </w:r>
      <w:r>
        <w:rPr>
          <w:rFonts w:hint="eastAsia" w:ascii="方正小标宋简体" w:hAnsi="宋体" w:eastAsia="方正小标宋简体"/>
          <w:color w:val="000000"/>
          <w:spacing w:val="6"/>
          <w:w w:val="90"/>
          <w:kern w:val="0"/>
          <w:sz w:val="72"/>
          <w:szCs w:val="72"/>
          <w:fitText w:val="1307" w:id="-1696326911"/>
        </w:rPr>
        <w:t>算</w:t>
      </w:r>
      <w:bookmarkEnd w:id="1"/>
      <w:bookmarkEnd w:id="2"/>
      <w:bookmarkEnd w:id="3"/>
      <w:bookmarkEnd w:id="4"/>
      <w:bookmarkEnd w:id="5"/>
      <w:bookmarkEnd w:id="6"/>
      <w:r>
        <w:rPr>
          <w:rFonts w:hint="eastAsia" w:ascii="方正小标宋简体" w:hAnsi="宋体" w:eastAsia="方正小标宋简体"/>
          <w:color w:val="000000"/>
          <w:kern w:val="0"/>
          <w:sz w:val="72"/>
          <w:szCs w:val="72"/>
        </w:rPr>
        <w:t>报告</w:t>
      </w:r>
    </w:p>
    <w:p>
      <w:pPr>
        <w:adjustRightInd w:val="0"/>
        <w:snapToGrid w:val="0"/>
        <w:spacing w:line="360" w:lineRule="auto"/>
        <w:jc w:val="center"/>
        <w:outlineLvl w:val="0"/>
        <w:rPr>
          <w:rFonts w:ascii="方正小标宋简体" w:hAnsi="宋体" w:eastAsia="方正小标宋简体"/>
          <w:color w:val="000000"/>
          <w:sz w:val="52"/>
          <w:szCs w:val="52"/>
        </w:rPr>
      </w:pPr>
      <w:bookmarkStart w:id="7" w:name="_Toc15378441"/>
      <w:bookmarkStart w:id="8" w:name="_Toc15396475"/>
      <w:bookmarkStart w:id="9" w:name="_Toc15377425"/>
      <w:bookmarkStart w:id="10" w:name="_Toc15396597"/>
      <w:bookmarkStart w:id="11" w:name="_Toc15377193"/>
      <w:r>
        <w:rPr>
          <w:rFonts w:hint="eastAsia" w:ascii="黑体" w:hAnsi="黑体" w:eastAsia="黑体"/>
          <w:color w:val="000000"/>
          <w:sz w:val="52"/>
          <w:szCs w:val="52"/>
        </w:rPr>
        <w:t>（</w:t>
      </w:r>
      <w:r>
        <w:rPr>
          <w:rFonts w:ascii="黑体" w:hAnsi="黑体" w:eastAsia="黑体"/>
          <w:color w:val="000000"/>
          <w:sz w:val="52"/>
          <w:szCs w:val="52"/>
        </w:rPr>
        <w:t>2020</w:t>
      </w:r>
      <w:r>
        <w:rPr>
          <w:rFonts w:hint="eastAsia" w:ascii="方正小标宋简体" w:hAnsi="宋体" w:eastAsia="方正小标宋简体"/>
          <w:color w:val="000000"/>
          <w:sz w:val="52"/>
          <w:szCs w:val="52"/>
        </w:rPr>
        <w:t>年度</w:t>
      </w:r>
      <w:bookmarkEnd w:id="7"/>
      <w:bookmarkEnd w:id="8"/>
      <w:bookmarkEnd w:id="9"/>
      <w:bookmarkEnd w:id="10"/>
      <w:bookmarkEnd w:id="11"/>
      <w:r>
        <w:rPr>
          <w:rFonts w:hint="eastAsia" w:ascii="方正小标宋简体" w:hAnsi="宋体" w:eastAsia="方正小标宋简体"/>
          <w:color w:val="000000"/>
          <w:sz w:val="52"/>
          <w:szCs w:val="52"/>
        </w:rPr>
        <w:t>）</w:t>
      </w:r>
    </w:p>
    <w:p>
      <w:pPr>
        <w:adjustRightInd w:val="0"/>
        <w:snapToGrid w:val="0"/>
        <w:spacing w:line="360" w:lineRule="auto"/>
        <w:outlineLvl w:val="0"/>
        <w:rPr>
          <w:rFonts w:ascii="方正小标宋简体" w:hAnsi="宋体" w:eastAsia="方正小标宋简体"/>
          <w:color w:val="000000"/>
          <w:sz w:val="72"/>
          <w:szCs w:val="7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1"/>
      </w:pPr>
      <w:r>
        <w:rPr>
          <w:rFonts w:hint="eastAsia"/>
        </w:rPr>
        <w:t>公开时间：</w:t>
      </w:r>
      <w:r>
        <w:t>2021</w:t>
      </w:r>
      <w:r>
        <w:rPr>
          <w:rFonts w:hint="eastAsia"/>
        </w:rPr>
        <w:t>年10 月 8日</w:t>
      </w:r>
    </w:p>
    <w:p/>
    <w:p>
      <w:pPr>
        <w:pStyle w:val="11"/>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一、基本职能及主要工作</w:t>
      </w:r>
    </w:p>
    <w:p>
      <w:pPr>
        <w:pStyle w:val="12"/>
        <w:adjustRightInd w:val="0"/>
        <w:snapToGrid w:val="0"/>
        <w:spacing w:line="440" w:lineRule="exact"/>
        <w:jc w:val="left"/>
        <w:rPr>
          <w:rFonts w:ascii="仿宋" w:hAnsi="仿宋" w:eastAsia="仿宋"/>
          <w:sz w:val="24"/>
        </w:rPr>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第二部分度部门决算情况说明</w:t>
      </w:r>
    </w:p>
    <w:p>
      <w:pPr>
        <w:pStyle w:val="12"/>
        <w:adjustRightInd w:val="0"/>
        <w:snapToGrid w:val="0"/>
        <w:spacing w:line="440" w:lineRule="exact"/>
        <w:jc w:val="left"/>
        <w:rPr>
          <w:rFonts w:ascii="仿宋" w:hAnsi="仿宋" w:eastAsia="仿宋"/>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sz w:val="24"/>
        </w:rPr>
      </w:pPr>
      <w:r>
        <w:rPr>
          <w:rFonts w:hint="eastAsia"/>
          <w:sz w:val="24"/>
        </w:rPr>
        <w:t>二、收入决算情况说明</w:t>
      </w:r>
    </w:p>
    <w:p>
      <w:pPr>
        <w:pStyle w:val="12"/>
        <w:adjustRightInd w:val="0"/>
        <w:snapToGrid w:val="0"/>
        <w:spacing w:line="440" w:lineRule="exact"/>
        <w:jc w:val="left"/>
        <w:rPr>
          <w:rFonts w:ascii="仿宋" w:hAnsi="仿宋" w:eastAsia="仿宋"/>
          <w:sz w:val="24"/>
        </w:rPr>
      </w:pPr>
      <w:r>
        <w:rPr>
          <w:rFonts w:hint="eastAsia"/>
          <w:sz w:val="24"/>
        </w:rPr>
        <w:t>三、支出决算情况说明</w:t>
      </w:r>
    </w:p>
    <w:p>
      <w:pPr>
        <w:pStyle w:val="12"/>
        <w:adjustRightInd w:val="0"/>
        <w:snapToGrid w:val="0"/>
        <w:spacing w:line="440" w:lineRule="exact"/>
        <w:jc w:val="left"/>
        <w:rPr>
          <w:rFonts w:ascii="仿宋" w:hAnsi="仿宋" w:eastAsia="仿宋"/>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sz w:val="24"/>
        </w:rPr>
      </w:pPr>
      <w:r>
        <w:rPr>
          <w:rFonts w:hint="eastAsia"/>
          <w:sz w:val="24"/>
        </w:rPr>
        <w:t>七、</w:t>
      </w:r>
      <w:r>
        <w:rPr>
          <w:sz w:val="24"/>
        </w:rPr>
        <w:t>“</w:t>
      </w:r>
      <w:r>
        <w:rPr>
          <w:rFonts w:hint="eastAsia"/>
          <w:sz w:val="24"/>
        </w:rPr>
        <w:t>三公”经费财政拨款支出决算情况说明</w:t>
      </w:r>
    </w:p>
    <w:p>
      <w:pPr>
        <w:pStyle w:val="12"/>
        <w:adjustRightInd w:val="0"/>
        <w:snapToGrid w:val="0"/>
        <w:spacing w:line="440" w:lineRule="exact"/>
        <w:jc w:val="left"/>
        <w:rPr>
          <w:rFonts w:ascii="仿宋" w:hAnsi="仿宋" w:eastAsia="仿宋"/>
          <w:sz w:val="24"/>
        </w:rPr>
      </w:pPr>
      <w:r>
        <w:rPr>
          <w:rFonts w:hint="eastAsia"/>
          <w:sz w:val="24"/>
        </w:rPr>
        <w:t>八、政府性基金预算支出决算情况说明</w:t>
      </w:r>
    </w:p>
    <w:p>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w:t>
      </w:r>
      <w:r>
        <w:rPr>
          <w:rFonts w:hint="eastAsia"/>
          <w:sz w:val="24"/>
        </w:rPr>
        <w:t>国有资本经营预算支出决算情况说明</w:t>
      </w:r>
    </w:p>
    <w:p>
      <w:pPr>
        <w:adjustRightInd w:val="0"/>
        <w:snapToGrid w:val="0"/>
        <w:spacing w:line="440" w:lineRule="exact"/>
        <w:ind w:firstLine="480" w:firstLineChars="200"/>
        <w:jc w:val="left"/>
        <w:rPr>
          <w:rFonts w:ascii="仿宋" w:hAnsi="仿宋" w:eastAsia="仿宋"/>
          <w:sz w:val="24"/>
        </w:rPr>
      </w:pPr>
      <w:r>
        <w:rPr>
          <w:rStyle w:val="16"/>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p>
    <w:p>
      <w:pPr>
        <w:pStyle w:val="11"/>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line="440" w:lineRule="exact"/>
        <w:jc w:val="left"/>
        <w:rPr>
          <w:rFonts w:ascii="仿宋" w:hAnsi="仿宋" w:eastAsia="仿宋"/>
          <w:sz w:val="24"/>
        </w:rPr>
      </w:pPr>
      <w:r>
        <w:rPr>
          <w:rFonts w:hint="eastAsia"/>
          <w:sz w:val="24"/>
        </w:rPr>
        <w:t>附件</w:t>
      </w:r>
      <w:r>
        <w:rPr>
          <w:sz w:val="24"/>
        </w:rPr>
        <w:t>1</w:t>
      </w:r>
    </w:p>
    <w:p>
      <w:pPr>
        <w:pStyle w:val="12"/>
        <w:adjustRightInd w:val="0"/>
        <w:snapToGrid w:val="0"/>
        <w:spacing w:line="440" w:lineRule="exact"/>
        <w:jc w:val="left"/>
        <w:rPr>
          <w:rFonts w:ascii="仿宋" w:hAnsi="仿宋" w:eastAsia="仿宋"/>
          <w:sz w:val="24"/>
        </w:rPr>
      </w:pPr>
      <w:r>
        <w:rPr>
          <w:rFonts w:hint="eastAsia"/>
          <w:sz w:val="24"/>
        </w:rPr>
        <w:t>附件</w:t>
      </w:r>
      <w:r>
        <w:rPr>
          <w:sz w:val="24"/>
        </w:rPr>
        <w:t>2</w:t>
      </w:r>
    </w:p>
    <w:p>
      <w:pPr>
        <w:pStyle w:val="11"/>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四、</w:t>
      </w:r>
      <w:r>
        <w:rPr>
          <w:rFonts w:hint="eastAsia"/>
          <w:sz w:val="24"/>
        </w:rPr>
        <w:t>财政拨款收入支出决算总表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十三、国有资本经营预算财政拨款收入支出决算表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18"/>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8"/>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9"/>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9"/>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开江县人民医院是开江县唯一一所集医疗、教学、科研、急救及预防保健为一体的国家公立“二级甲等”综合医院、国际爱婴医院。是达州市“120”急救指挥分中心，是开江县新农合、城镇（职工）医保、交通事故、各种保险的定点急救医院，担负着全县60余万人民的康复保健、疾病救治和院前急救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1、医疗质量指标：（1）收治门诊病人138433人次；住院病人13981人次；门诊和住院手术4888人次；急诊18069人次；体检6646人次。（2）病床使用率78.8%，平均住院日8.9天</w:t>
      </w:r>
      <w:r>
        <w:rPr>
          <w:rFonts w:hint="eastAsia" w:ascii="仿宋" w:hAnsi="仿宋" w:eastAsia="仿宋"/>
          <w:bCs/>
          <w:color w:val="000000"/>
          <w:sz w:val="32"/>
          <w:szCs w:val="32"/>
          <w:lang w:eastAsia="zh-CN"/>
        </w:rPr>
        <w:t>，</w:t>
      </w:r>
      <w:bookmarkStart w:id="66" w:name="_GoBack"/>
      <w:bookmarkEnd w:id="66"/>
      <w:r>
        <w:rPr>
          <w:rFonts w:hint="eastAsia" w:ascii="仿宋" w:hAnsi="仿宋" w:eastAsia="仿宋"/>
          <w:bCs/>
          <w:color w:val="000000"/>
          <w:sz w:val="32"/>
          <w:szCs w:val="32"/>
        </w:rPr>
        <w:t>病床周转次数35.1次。（3）成分输血100%。（4）完成政府指令性任务比例100%，完成无偿献血工作100%。（5）病人满意度测评97.6%。</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护理质量指标：⑴一级护理合格率92.85%。⑵基础护理合格率≥90%。⑶抢救药品完好率100%，抢救器材完好率100%。⑷健康教育覆盖率100%。⑸住院患者压疮发生率0.03%。⑹“三基”及急救知识与技能考核合格率100%。</w:t>
      </w:r>
    </w:p>
    <w:p>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3、我院作为“新冠肺炎”定点医疗机构，重点完成了发热门诊流程再造，感染科及全院临床科室特发患者流程优化，建立了核酸检测实验室并提供核酸检测服务，发热患者的诊治，新冠肺炎患者的筛查和医疗救治工作。</w:t>
      </w:r>
      <w:r>
        <w:rPr>
          <w:rFonts w:hint="eastAsia" w:ascii="仿宋" w:hAnsi="仿宋" w:eastAsia="仿宋"/>
          <w:bCs/>
          <w:color w:val="000000"/>
          <w:sz w:val="32"/>
          <w:szCs w:val="32"/>
          <w:lang w:eastAsia="zh-CN"/>
        </w:rPr>
        <w:t>较好地完成</w:t>
      </w:r>
      <w:r>
        <w:rPr>
          <w:rFonts w:hint="eastAsia" w:ascii="仿宋" w:hAnsi="仿宋" w:eastAsia="仿宋"/>
          <w:bCs/>
          <w:color w:val="000000"/>
          <w:sz w:val="32"/>
          <w:szCs w:val="32"/>
        </w:rPr>
        <w:t>了县委政府</w:t>
      </w:r>
      <w:r>
        <w:rPr>
          <w:rFonts w:hint="eastAsia" w:ascii="仿宋" w:hAnsi="仿宋" w:eastAsia="仿宋"/>
          <w:bCs/>
          <w:color w:val="000000"/>
          <w:sz w:val="32"/>
          <w:szCs w:val="32"/>
          <w:lang w:eastAsia="zh-CN"/>
        </w:rPr>
        <w:t>交代</w:t>
      </w:r>
      <w:r>
        <w:rPr>
          <w:rFonts w:hint="eastAsia" w:ascii="仿宋" w:hAnsi="仿宋" w:eastAsia="仿宋"/>
          <w:bCs/>
          <w:color w:val="000000"/>
          <w:sz w:val="32"/>
          <w:szCs w:val="32"/>
        </w:rPr>
        <w:t>的新冠肺炎治疗和防治任务。</w:t>
      </w:r>
    </w:p>
    <w:p>
      <w:pPr>
        <w:pStyle w:val="5"/>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bCs/>
          <w:color w:val="000000"/>
          <w:sz w:val="32"/>
          <w:szCs w:val="32"/>
        </w:rPr>
        <w:t>4、根据县委政府的安排，在卫健局的领导下和达州市中心医院建立了紧密型医联体。达州市中心医院委派一名院长和副院长到我院工作。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服务能力持续提升，改善医院服务形象，加强专科建设，建立远程医疗会诊中心。重培养，人才紧张趋于缓解。打造学科带头人，引进新技术新项目等方面取得了较好的成绩。</w:t>
      </w:r>
    </w:p>
    <w:p>
      <w:pPr>
        <w:pStyle w:val="5"/>
        <w:adjustRightInd w:val="0"/>
        <w:snapToGrid w:val="0"/>
        <w:spacing w:before="93" w:line="600" w:lineRule="exact"/>
        <w:outlineLvl w:val="2"/>
        <w:rPr>
          <w:rFonts w:ascii="仿宋" w:hAnsi="仿宋" w:eastAsia="仿宋"/>
          <w:bCs/>
          <w:color w:val="000000"/>
          <w:sz w:val="32"/>
          <w:szCs w:val="32"/>
        </w:rPr>
      </w:pPr>
      <w:r>
        <w:rPr>
          <w:rFonts w:hint="eastAsia" w:ascii="仿宋" w:hAnsi="仿宋" w:eastAsia="仿宋"/>
          <w:bCs/>
          <w:color w:val="000000"/>
          <w:sz w:val="32"/>
          <w:szCs w:val="32"/>
        </w:rPr>
        <w:t xml:space="preserve">    </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pPr>
      <w:bookmarkStart w:id="20" w:name="_Toc15396602"/>
      <w:bookmarkStart w:id="21" w:name="_Toc15377204"/>
      <w:r>
        <w:rPr>
          <w:rFonts w:hint="eastAsia" w:ascii="黑体" w:hAnsi="黑体" w:eastAsia="黑体"/>
          <w:b w:val="0"/>
          <w:color w:val="000000"/>
        </w:rPr>
        <w:t>第二部分</w:t>
      </w:r>
      <w:r>
        <w:rPr>
          <w:rFonts w:ascii="黑体" w:hAnsi="黑体" w:eastAsia="黑体"/>
          <w:color w:val="000000"/>
        </w:rPr>
        <w:t xml:space="preserve"> </w:t>
      </w:r>
      <w:r>
        <w:rPr>
          <w:rStyle w:val="18"/>
          <w:rFonts w:ascii="黑体" w:hAnsi="黑体" w:eastAsia="黑体"/>
          <w:b w:val="0"/>
          <w:bCs w:val="0"/>
        </w:rPr>
        <w:t>2020</w:t>
      </w:r>
      <w:r>
        <w:rPr>
          <w:rStyle w:val="18"/>
          <w:rFonts w:hint="eastAsia" w:ascii="黑体" w:hAnsi="黑体" w:eastAsia="黑体"/>
          <w:b w:val="0"/>
          <w:bCs w:val="0"/>
        </w:rPr>
        <w:t>年度部门决算情况说明</w:t>
      </w:r>
      <w:bookmarkEnd w:id="20"/>
      <w:bookmarkEnd w:id="21"/>
    </w:p>
    <w:p>
      <w:pPr>
        <w:pStyle w:val="27"/>
        <w:numPr>
          <w:ilvl w:val="0"/>
          <w:numId w:val="1"/>
        </w:numPr>
        <w:spacing w:line="600" w:lineRule="exact"/>
        <w:ind w:firstLineChars="0"/>
        <w:outlineLvl w:val="1"/>
        <w:rPr>
          <w:rStyle w:val="19"/>
          <w:rFonts w:ascii="黑体" w:hAnsi="黑体" w:eastAsia="黑体"/>
          <w:b w:val="0"/>
        </w:rPr>
      </w:pPr>
      <w:bookmarkStart w:id="22" w:name="_Toc15396603"/>
      <w:bookmarkStart w:id="23" w:name="_Toc15377205"/>
      <w:r>
        <w:rPr>
          <w:rFonts w:hint="eastAsia" w:ascii="黑体" w:hAnsi="黑体" w:eastAsia="黑体"/>
          <w:color w:val="000000"/>
          <w:sz w:val="32"/>
          <w:szCs w:val="32"/>
        </w:rPr>
        <w:t>收</w:t>
      </w:r>
      <w:r>
        <w:rPr>
          <w:rStyle w:val="19"/>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年度收、支总计32178.26万元。与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年相比，收、支总计各增加8586.58万元，增长36.4</w:t>
      </w:r>
      <w:r>
        <w:rPr>
          <w:rFonts w:ascii="仿宋" w:hAnsi="仿宋" w:eastAsia="仿宋"/>
          <w:color w:val="000000"/>
          <w:sz w:val="32"/>
          <w:szCs w:val="32"/>
        </w:rPr>
        <w:t>%</w:t>
      </w:r>
      <w:r>
        <w:rPr>
          <w:rFonts w:hint="eastAsia" w:ascii="仿宋" w:hAnsi="仿宋" w:eastAsia="仿宋"/>
          <w:color w:val="000000"/>
          <w:sz w:val="32"/>
          <w:szCs w:val="32"/>
        </w:rPr>
        <w:t>。主要变动原因是：新增收入新冠肺炎国家专项债7300万元，新冠肺炎防治经费1677万余元，地方专项债10700万元，医疗收入较2019年度减少2700万元。</w:t>
      </w:r>
    </w:p>
    <w:p>
      <w:pPr>
        <w:spacing w:line="600" w:lineRule="exact"/>
        <w:ind w:firstLine="640" w:firstLineChars="200"/>
        <w:rPr>
          <w:rFonts w:ascii="仿宋" w:hAnsi="仿宋" w:eastAsia="仿宋"/>
          <w:color w:val="000000"/>
          <w:sz w:val="32"/>
          <w:szCs w:val="32"/>
        </w:rPr>
      </w:pPr>
      <w:r>
        <w:rPr>
          <w:rFonts w:ascii="仿宋_GB2312" w:eastAsia="仿宋_GB2312"/>
          <w:color w:val="000000"/>
          <w:sz w:val="32"/>
          <w:szCs w:val="32"/>
        </w:rPr>
        <w:drawing>
          <wp:anchor distT="0" distB="0" distL="114300" distR="114300" simplePos="0" relativeHeight="251659264" behindDoc="0" locked="0" layoutInCell="1" allowOverlap="1">
            <wp:simplePos x="0" y="0"/>
            <wp:positionH relativeFrom="column">
              <wp:posOffset>101600</wp:posOffset>
            </wp:positionH>
            <wp:positionV relativeFrom="paragraph">
              <wp:posOffset>229235</wp:posOffset>
            </wp:positionV>
            <wp:extent cx="5227320" cy="3242945"/>
            <wp:effectExtent l="0" t="0" r="11430"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27"/>
        <w:numPr>
          <w:ilvl w:val="0"/>
          <w:numId w:val="1"/>
        </w:numPr>
        <w:spacing w:line="600" w:lineRule="exact"/>
        <w:ind w:firstLineChars="0"/>
        <w:outlineLvl w:val="1"/>
        <w:rPr>
          <w:rStyle w:val="19"/>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19"/>
          <w:rFonts w:hint="eastAsia" w:ascii="黑体" w:hAnsi="黑体" w:eastAsia="黑体"/>
          <w:b w:val="0"/>
        </w:rPr>
        <w:t>入决算情况说明</w:t>
      </w:r>
      <w:bookmarkEnd w:id="24"/>
      <w:bookmarkEnd w:id="25"/>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olor w:val="000000"/>
          <w:sz w:val="32"/>
          <w:szCs w:val="32"/>
        </w:rPr>
        <w:t>32178.26</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2007.7</w:t>
      </w:r>
      <w:r>
        <w:rPr>
          <w:rFonts w:hint="eastAsia" w:ascii="仿宋" w:hAnsi="仿宋" w:eastAsia="仿宋"/>
          <w:color w:val="000000"/>
          <w:sz w:val="32"/>
          <w:szCs w:val="32"/>
        </w:rPr>
        <w:t>万元，占6.24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ascii="仿宋" w:hAnsi="仿宋" w:eastAsia="仿宋"/>
          <w:color w:val="000000"/>
          <w:sz w:val="32"/>
          <w:szCs w:val="32"/>
        </w:rPr>
        <w:t>18137.25</w:t>
      </w:r>
      <w:r>
        <w:rPr>
          <w:rFonts w:hint="eastAsia" w:ascii="仿宋" w:hAnsi="仿宋" w:eastAsia="仿宋"/>
          <w:color w:val="000000"/>
          <w:sz w:val="32"/>
          <w:szCs w:val="32"/>
        </w:rPr>
        <w:t>万元，占56.36</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w:t>
      </w:r>
      <w:r>
        <w:rPr>
          <w:rFonts w:ascii="仿宋" w:hAnsi="仿宋" w:eastAsia="仿宋"/>
          <w:color w:val="000000"/>
          <w:sz w:val="32"/>
          <w:szCs w:val="32"/>
        </w:rPr>
        <w:t>12006.03</w:t>
      </w:r>
      <w:r>
        <w:rPr>
          <w:rFonts w:hint="eastAsia" w:ascii="仿宋" w:hAnsi="仿宋" w:eastAsia="仿宋"/>
          <w:color w:val="000000"/>
          <w:sz w:val="32"/>
          <w:szCs w:val="32"/>
        </w:rPr>
        <w:t>万元，占37.31</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w:t>
      </w:r>
      <w:r>
        <w:rPr>
          <w:rFonts w:ascii="仿宋" w:hAnsi="仿宋" w:eastAsia="仿宋"/>
          <w:color w:val="000000"/>
          <w:sz w:val="32"/>
          <w:szCs w:val="32"/>
        </w:rPr>
        <w:t>27.28</w:t>
      </w:r>
      <w:r>
        <w:rPr>
          <w:rFonts w:hint="eastAsia" w:ascii="仿宋" w:hAnsi="仿宋" w:eastAsia="仿宋"/>
          <w:color w:val="000000"/>
          <w:sz w:val="32"/>
          <w:szCs w:val="32"/>
        </w:rPr>
        <w:t>万元，占0.09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_GB2312" w:eastAsia="仿宋_GB2312"/>
          <w:color w:val="FF0000"/>
          <w:sz w:val="32"/>
          <w:szCs w:val="32"/>
        </w:rPr>
        <w:drawing>
          <wp:anchor distT="0" distB="0" distL="114300" distR="114300" simplePos="0" relativeHeight="251660288" behindDoc="0" locked="0" layoutInCell="1" allowOverlap="1">
            <wp:simplePos x="0" y="0"/>
            <wp:positionH relativeFrom="column">
              <wp:posOffset>190500</wp:posOffset>
            </wp:positionH>
            <wp:positionV relativeFrom="paragraph">
              <wp:posOffset>138430</wp:posOffset>
            </wp:positionV>
            <wp:extent cx="5029200" cy="2561590"/>
            <wp:effectExtent l="0" t="0" r="19050" b="1016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27"/>
        <w:numPr>
          <w:ilvl w:val="0"/>
          <w:numId w:val="1"/>
        </w:numPr>
        <w:spacing w:line="600" w:lineRule="exact"/>
        <w:ind w:firstLineChars="0"/>
        <w:outlineLvl w:val="1"/>
        <w:rPr>
          <w:rStyle w:val="19"/>
          <w:rFonts w:ascii="黑体" w:hAnsi="黑体" w:eastAsia="黑体"/>
          <w:b w:val="0"/>
        </w:rPr>
      </w:pPr>
      <w:bookmarkStart w:id="26" w:name="_Toc15396605"/>
      <w:bookmarkStart w:id="27" w:name="_Toc15377207"/>
      <w:r>
        <w:rPr>
          <w:rFonts w:hint="eastAsia" w:ascii="黑体" w:hAnsi="黑体" w:eastAsia="黑体"/>
          <w:color w:val="000000"/>
          <w:sz w:val="32"/>
          <w:szCs w:val="32"/>
        </w:rPr>
        <w:t>支</w:t>
      </w:r>
      <w:r>
        <w:rPr>
          <w:rStyle w:val="19"/>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olor w:val="000000"/>
          <w:sz w:val="32"/>
          <w:szCs w:val="32"/>
        </w:rPr>
        <w:t>32178.26</w:t>
      </w:r>
      <w:r>
        <w:rPr>
          <w:rFonts w:hint="eastAsia" w:ascii="仿宋" w:hAnsi="仿宋" w:eastAsia="仿宋"/>
          <w:color w:val="000000"/>
          <w:sz w:val="32"/>
          <w:szCs w:val="32"/>
        </w:rPr>
        <w:t>万元，其中：基本支出</w:t>
      </w:r>
      <w:r>
        <w:rPr>
          <w:rFonts w:ascii="仿宋" w:hAnsi="仿宋" w:eastAsia="仿宋"/>
          <w:color w:val="000000"/>
          <w:sz w:val="32"/>
          <w:szCs w:val="32"/>
        </w:rPr>
        <w:t>12719.44</w:t>
      </w:r>
      <w:r>
        <w:rPr>
          <w:rFonts w:hint="eastAsia" w:ascii="仿宋" w:hAnsi="仿宋" w:eastAsia="仿宋"/>
          <w:color w:val="000000"/>
          <w:sz w:val="32"/>
          <w:szCs w:val="32"/>
        </w:rPr>
        <w:t>万元，占39.53</w:t>
      </w:r>
      <w:r>
        <w:rPr>
          <w:rFonts w:ascii="仿宋" w:hAnsi="仿宋" w:eastAsia="仿宋"/>
          <w:color w:val="000000"/>
          <w:sz w:val="32"/>
          <w:szCs w:val="32"/>
        </w:rPr>
        <w:t>%</w:t>
      </w:r>
      <w:r>
        <w:rPr>
          <w:rFonts w:hint="eastAsia" w:ascii="仿宋" w:hAnsi="仿宋" w:eastAsia="仿宋"/>
          <w:color w:val="000000"/>
          <w:sz w:val="32"/>
          <w:szCs w:val="32"/>
        </w:rPr>
        <w:t>；项目支出</w:t>
      </w:r>
      <w:r>
        <w:rPr>
          <w:rFonts w:ascii="仿宋" w:hAnsi="仿宋" w:eastAsia="仿宋"/>
          <w:color w:val="000000"/>
          <w:sz w:val="32"/>
          <w:szCs w:val="32"/>
        </w:rPr>
        <w:t>19458.82</w:t>
      </w:r>
      <w:r>
        <w:rPr>
          <w:rFonts w:hint="eastAsia" w:ascii="仿宋" w:hAnsi="仿宋" w:eastAsia="仿宋"/>
          <w:color w:val="000000"/>
          <w:sz w:val="32"/>
          <w:szCs w:val="32"/>
        </w:rPr>
        <w:t>万元，占60.47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color w:val="FF0000"/>
          <w:sz w:val="32"/>
          <w:szCs w:val="32"/>
        </w:rPr>
        <w:drawing>
          <wp:anchor distT="0" distB="0" distL="114300" distR="114300" simplePos="0" relativeHeight="251661312" behindDoc="0" locked="0" layoutInCell="1" allowOverlap="1">
            <wp:simplePos x="0" y="0"/>
            <wp:positionH relativeFrom="column">
              <wp:posOffset>219710</wp:posOffset>
            </wp:positionH>
            <wp:positionV relativeFrom="paragraph">
              <wp:posOffset>51435</wp:posOffset>
            </wp:positionV>
            <wp:extent cx="5201285" cy="2303145"/>
            <wp:effectExtent l="0" t="0" r="18415" b="2095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bookmarkStart w:id="28" w:name="_Toc15396606"/>
      <w:bookmarkStart w:id="29" w:name="_Toc15377208"/>
    </w:p>
    <w:p>
      <w:pPr>
        <w:spacing w:line="600" w:lineRule="exact"/>
        <w:ind w:firstLine="640"/>
        <w:rPr>
          <w:rStyle w:val="19"/>
          <w:rFonts w:ascii="仿宋" w:hAnsi="仿宋" w:eastAsia="仿宋"/>
          <w:b w:val="0"/>
          <w:bCs w:val="0"/>
          <w:color w:val="000000"/>
          <w:shd w:val="pct10" w:color="auto" w:fill="FFFFFF"/>
        </w:rPr>
      </w:pPr>
      <w:r>
        <w:rPr>
          <w:rFonts w:hint="eastAsia" w:ascii="黑体" w:hAnsi="黑体" w:eastAsia="黑体"/>
          <w:color w:val="000000"/>
          <w:sz w:val="32"/>
          <w:szCs w:val="32"/>
        </w:rPr>
        <w:t>四、财</w:t>
      </w:r>
      <w:r>
        <w:rPr>
          <w:rStyle w:val="19"/>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340360</wp:posOffset>
            </wp:positionH>
            <wp:positionV relativeFrom="paragraph">
              <wp:posOffset>1431290</wp:posOffset>
            </wp:positionV>
            <wp:extent cx="5400040" cy="2880995"/>
            <wp:effectExtent l="0" t="0" r="10160"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000000"/>
          <w:sz w:val="32"/>
          <w:szCs w:val="32"/>
        </w:rPr>
        <w:t>2020</w:t>
      </w:r>
      <w:r>
        <w:rPr>
          <w:rFonts w:hint="eastAsia" w:ascii="仿宋" w:hAnsi="仿宋" w:eastAsia="仿宋"/>
          <w:color w:val="000000"/>
          <w:sz w:val="32"/>
          <w:szCs w:val="32"/>
        </w:rPr>
        <w:t>年财政拨款收、支总计</w:t>
      </w:r>
      <w:r>
        <w:rPr>
          <w:rFonts w:ascii="仿宋" w:hAnsi="仿宋" w:eastAsia="仿宋"/>
          <w:color w:val="000000"/>
          <w:sz w:val="32"/>
          <w:szCs w:val="32"/>
        </w:rPr>
        <w:t>20144.95</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年相比，财政拨款收、支总计各增加11451.26万元，增长132</w:t>
      </w:r>
      <w:r>
        <w:rPr>
          <w:rFonts w:ascii="仿宋" w:hAnsi="仿宋" w:eastAsia="仿宋"/>
          <w:color w:val="000000"/>
          <w:sz w:val="32"/>
          <w:szCs w:val="32"/>
        </w:rPr>
        <w:t>%</w:t>
      </w:r>
      <w:r>
        <w:rPr>
          <w:rFonts w:hint="eastAsia" w:ascii="仿宋" w:hAnsi="仿宋" w:eastAsia="仿宋"/>
          <w:color w:val="000000"/>
          <w:sz w:val="32"/>
          <w:szCs w:val="32"/>
        </w:rPr>
        <w:t>。主要变动原因是：新增收入新冠肺炎国家专项债7300万元，新冠肺炎防治经费1677万余元，地方专项债10700万元。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firstLineChars="200"/>
        <w:outlineLvl w:val="1"/>
        <w:rPr>
          <w:rStyle w:val="19"/>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2007.7</w:t>
      </w:r>
      <w:r>
        <w:rPr>
          <w:rFonts w:hint="eastAsia" w:ascii="仿宋" w:hAnsi="仿宋" w:eastAsia="仿宋"/>
          <w:color w:val="000000"/>
          <w:sz w:val="32"/>
          <w:szCs w:val="32"/>
        </w:rPr>
        <w:t>万元，占本年支出合计的9.97</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年相比，一般公共预算财政拨款减少3685.99万元，下降64.74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513080</wp:posOffset>
            </wp:positionH>
            <wp:positionV relativeFrom="paragraph">
              <wp:posOffset>164465</wp:posOffset>
            </wp:positionV>
            <wp:extent cx="4433570" cy="2173605"/>
            <wp:effectExtent l="0" t="0" r="24130" b="171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年一般公共预算财政拨款支出2007.7万元，主要用于以下方面</w:t>
      </w:r>
      <w:r>
        <w:rPr>
          <w:rFonts w:hint="eastAsia" w:ascii="仿宋" w:hAnsi="仿宋" w:eastAsia="仿宋"/>
          <w:color w:val="000000"/>
          <w:sz w:val="32"/>
          <w:szCs w:val="32"/>
          <w:lang w:eastAsia="zh-CN"/>
        </w:rPr>
        <w:t>：</w:t>
      </w:r>
      <w:r>
        <w:rPr>
          <w:rFonts w:hint="eastAsia" w:ascii="仿宋" w:hAnsi="仿宋" w:eastAsia="仿宋"/>
          <w:b/>
          <w:color w:val="000000"/>
          <w:sz w:val="32"/>
          <w:szCs w:val="32"/>
        </w:rPr>
        <w:t>社会保障和就业</w:t>
      </w:r>
      <w:r>
        <w:rPr>
          <w:rFonts w:hint="eastAsia" w:ascii="仿宋" w:hAnsi="仿宋" w:eastAsia="仿宋"/>
          <w:color w:val="000000"/>
          <w:sz w:val="32"/>
          <w:szCs w:val="32"/>
        </w:rPr>
        <w:t>支出100万元，占4.98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1907.7万元，占95.02</w:t>
      </w:r>
      <w:r>
        <w:rPr>
          <w:rFonts w:ascii="仿宋" w:hAnsi="仿宋" w:eastAsia="仿宋"/>
          <w:color w:val="000000"/>
          <w:sz w:val="32"/>
          <w:szCs w:val="32"/>
        </w:rPr>
        <w:t>%</w:t>
      </w:r>
      <w:r>
        <w:rPr>
          <w:rFonts w:ascii="仿宋" w:hAnsi="仿宋" w:eastAsia="仿宋"/>
          <w:b/>
          <w:color w:val="000000"/>
          <w:sz w:val="32"/>
          <w:szCs w:val="32"/>
        </w:rPr>
        <w:t xml:space="preserve"> </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754380</wp:posOffset>
            </wp:positionH>
            <wp:positionV relativeFrom="paragraph">
              <wp:posOffset>35560</wp:posOffset>
            </wp:positionV>
            <wp:extent cx="4502785" cy="1837055"/>
            <wp:effectExtent l="0" t="0" r="12065" b="1079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0" w:firstLineChars="200"/>
        <w:outlineLvl w:val="2"/>
        <w:rPr>
          <w:rFonts w:ascii="仿宋" w:hAnsi="仿宋" w:eastAsia="仿宋"/>
          <w:b/>
          <w:color w:val="FF0000"/>
          <w:sz w:val="32"/>
          <w:szCs w:val="32"/>
        </w:rPr>
      </w:pPr>
      <w:bookmarkStart w:id="35" w:name="_Toc15377213"/>
      <w:bookmarkStart w:id="36" w:name="_Toc15378460"/>
      <w:bookmarkStart w:id="37" w:name="_Toc15377444"/>
      <w:r>
        <w:rPr>
          <w:rFonts w:ascii="仿宋" w:hAnsi="仿宋" w:eastAsia="仿宋"/>
          <w:color w:val="000000"/>
          <w:sz w:val="32"/>
          <w:szCs w:val="32"/>
        </w:rPr>
        <w:t>2020</w:t>
      </w:r>
      <w:r>
        <w:rPr>
          <w:rFonts w:hint="eastAsia" w:ascii="仿宋" w:hAnsi="仿宋" w:eastAsia="仿宋"/>
          <w:color w:val="000000"/>
          <w:sz w:val="32"/>
          <w:szCs w:val="32"/>
        </w:rPr>
        <w:t>年一般公共预算支出决算数为2007.7，</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。其中：</w:t>
      </w:r>
      <w:bookmarkEnd w:id="35"/>
      <w:bookmarkEnd w:id="36"/>
      <w:bookmarkEnd w:id="37"/>
    </w:p>
    <w:p>
      <w:pPr>
        <w:spacing w:line="600" w:lineRule="exact"/>
        <w:ind w:firstLine="640" w:firstLineChars="200"/>
        <w:rPr>
          <w:rFonts w:ascii="仿宋" w:hAnsi="仿宋" w:eastAsia="仿宋"/>
          <w:b/>
          <w:color w:val="000000"/>
          <w:sz w:val="32"/>
          <w:szCs w:val="32"/>
        </w:rPr>
      </w:pPr>
      <w:r>
        <w:rPr>
          <w:rStyle w:val="15"/>
          <w:rFonts w:hint="eastAsia" w:ascii="仿宋" w:hAnsi="仿宋" w:eastAsia="仿宋"/>
          <w:b w:val="0"/>
          <w:bCs/>
          <w:color w:val="000000"/>
          <w:sz w:val="32"/>
          <w:szCs w:val="32"/>
        </w:rPr>
        <w:t>1</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社会保障和就业</w:t>
      </w:r>
      <w:r>
        <w:rPr>
          <w:rStyle w:val="15"/>
          <w:rFonts w:hint="eastAsia" w:ascii="仿宋" w:hAnsi="仿宋" w:eastAsia="仿宋"/>
          <w:b w:val="0"/>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支出决算为100万元，完成预算100</w:t>
      </w:r>
      <w:r>
        <w:rPr>
          <w:rStyle w:val="15"/>
          <w:rFonts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hint="eastAsia" w:ascii="仿宋" w:hAnsi="仿宋" w:eastAsia="仿宋"/>
          <w:b w:val="0"/>
          <w:bCs/>
          <w:color w:val="000000"/>
          <w:sz w:val="32"/>
          <w:szCs w:val="32"/>
        </w:rPr>
        <w:t>2</w:t>
      </w:r>
      <w:r>
        <w:rPr>
          <w:rStyle w:val="15"/>
          <w:rFonts w:ascii="仿宋" w:hAnsi="仿宋" w:eastAsia="仿宋"/>
          <w:b w:val="0"/>
          <w:bCs/>
          <w:color w:val="000000"/>
          <w:sz w:val="32"/>
          <w:szCs w:val="32"/>
        </w:rPr>
        <w:t>.</w:t>
      </w:r>
      <w:r>
        <w:rPr>
          <w:rFonts w:hint="eastAsia" w:ascii="仿宋" w:hAnsi="仿宋" w:eastAsia="仿宋"/>
          <w:bCs/>
          <w:color w:val="000000"/>
          <w:sz w:val="32"/>
          <w:szCs w:val="32"/>
        </w:rPr>
        <w:t>卫生健康</w:t>
      </w:r>
      <w:r>
        <w:rPr>
          <w:rStyle w:val="15"/>
          <w:rFonts w:hint="eastAsia" w:ascii="仿宋" w:hAnsi="仿宋" w:eastAsia="仿宋"/>
          <w:b w:val="0"/>
          <w:bCs/>
          <w:color w:val="000000"/>
          <w:sz w:val="32"/>
          <w:szCs w:val="32"/>
        </w:rPr>
        <w:t>支出</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支出决算为1907.7万元，完成预算100</w:t>
      </w:r>
      <w:r>
        <w:rPr>
          <w:rStyle w:val="15"/>
          <w:rFonts w:ascii="仿宋" w:hAnsi="仿宋" w:eastAsia="仿宋"/>
          <w:b w:val="0"/>
          <w:bCs/>
          <w:color w:val="000000"/>
          <w:sz w:val="32"/>
          <w:szCs w:val="32"/>
        </w:rPr>
        <w:t>%</w:t>
      </w:r>
    </w:p>
    <w:p>
      <w:pPr>
        <w:tabs>
          <w:tab w:val="right" w:pos="8306"/>
        </w:tabs>
        <w:spacing w:line="600" w:lineRule="exact"/>
        <w:ind w:firstLine="640"/>
        <w:outlineLvl w:val="1"/>
        <w:rPr>
          <w:rStyle w:val="19"/>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rPr>
        <w:t>般公共预算财政拨款基本支出决算情况说明</w:t>
      </w:r>
      <w:bookmarkEnd w:id="38"/>
      <w:bookmarkEnd w:id="39"/>
      <w:r>
        <w:rPr>
          <w:rStyle w:val="1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年一般公共预算财政拨款基本支出686.13万元，其中：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686.13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outlineLvl w:val="1"/>
        <w:rPr>
          <w:rStyle w:val="19"/>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40"/>
      <w:bookmarkEnd w:id="41"/>
    </w:p>
    <w:p>
      <w:pPr>
        <w:spacing w:line="600" w:lineRule="exact"/>
        <w:ind w:firstLine="640"/>
        <w:rPr>
          <w:rFonts w:ascii="仿宋_GB2312" w:eastAsia="仿宋_GB2312"/>
          <w:color w:val="000000"/>
          <w:sz w:val="32"/>
          <w:szCs w:val="32"/>
        </w:rPr>
      </w:pPr>
      <w:bookmarkStart w:id="42" w:name="_Toc15396610"/>
      <w:bookmarkStart w:id="43" w:name="_Toc15377218"/>
      <w:r>
        <w:rPr>
          <w:rFonts w:ascii="仿宋_GB2312" w:eastAsia="仿宋_GB2312"/>
          <w:color w:val="000000"/>
          <w:sz w:val="32"/>
          <w:szCs w:val="32"/>
        </w:rPr>
        <w:t>2020</w:t>
      </w:r>
      <w:r>
        <w:rPr>
          <w:rFonts w:hint="eastAsia" w:ascii="仿宋_GB2312" w:eastAsia="仿宋_GB2312"/>
          <w:color w:val="000000"/>
          <w:sz w:val="32"/>
          <w:szCs w:val="32"/>
        </w:rPr>
        <w:t>年“三公”经费财政拨款支出0万元。</w:t>
      </w:r>
    </w:p>
    <w:p>
      <w:pPr>
        <w:spacing w:line="600" w:lineRule="exact"/>
        <w:ind w:firstLine="640"/>
        <w:outlineLvl w:val="1"/>
        <w:rPr>
          <w:rStyle w:val="19"/>
          <w:rFonts w:ascii="黑体" w:hAnsi="黑体" w:eastAsia="黑体"/>
        </w:rPr>
      </w:pPr>
      <w:r>
        <w:rPr>
          <w:rFonts w:hint="eastAsia" w:ascii="黑体" w:eastAsia="黑体"/>
          <w:color w:val="000000"/>
          <w:sz w:val="32"/>
          <w:szCs w:val="32"/>
        </w:rPr>
        <w:t>八、</w:t>
      </w:r>
      <w:r>
        <w:rPr>
          <w:rStyle w:val="19"/>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年政府性基金预算拨款支出18137.25万元。</w:t>
      </w:r>
    </w:p>
    <w:p>
      <w:pPr>
        <w:numPr>
          <w:ilvl w:val="0"/>
          <w:numId w:val="2"/>
        </w:numPr>
        <w:spacing w:line="600" w:lineRule="exact"/>
        <w:ind w:firstLine="640"/>
        <w:outlineLvl w:val="1"/>
        <w:rPr>
          <w:rStyle w:val="19"/>
          <w:rFonts w:ascii="黑体" w:hAnsi="黑体" w:eastAsia="黑体"/>
          <w:b w:val="0"/>
        </w:rPr>
      </w:pPr>
      <w:bookmarkStart w:id="44" w:name="_Toc15377219"/>
      <w:bookmarkStart w:id="45" w:name="_Toc15396611"/>
      <w:r>
        <w:rPr>
          <w:rStyle w:val="19"/>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pPr>
        <w:spacing w:line="600" w:lineRule="exact"/>
        <w:ind w:firstLine="800" w:firstLineChars="250"/>
        <w:outlineLvl w:val="1"/>
        <w:rPr>
          <w:rFonts w:ascii="黑体" w:hAnsi="黑体" w:eastAsia="黑体"/>
          <w:b/>
          <w:bCs/>
          <w:sz w:val="32"/>
          <w:szCs w:val="32"/>
        </w:rPr>
      </w:pPr>
      <w:bookmarkStart w:id="46" w:name="_Toc15396612"/>
      <w:bookmarkStart w:id="47" w:name="_Toc15377221"/>
      <w:r>
        <w:rPr>
          <w:rFonts w:hint="eastAsia" w:ascii="黑体" w:hAnsi="黑体" w:eastAsia="黑体"/>
          <w:color w:val="000000"/>
          <w:sz w:val="32"/>
          <w:szCs w:val="32"/>
        </w:rPr>
        <w:t>十</w:t>
      </w:r>
      <w:r>
        <w:rPr>
          <w:rStyle w:val="19"/>
          <w:rFonts w:hint="eastAsia" w:ascii="黑体" w:hAnsi="黑体" w:eastAsia="黑体"/>
        </w:rPr>
        <w:t>、</w:t>
      </w:r>
      <w:r>
        <w:rPr>
          <w:rStyle w:val="19"/>
          <w:rFonts w:hint="eastAsia" w:ascii="黑体" w:hAnsi="黑体" w:eastAsia="黑体"/>
          <w:b w:val="0"/>
        </w:rPr>
        <w:t>其他重要事项的情况说明</w:t>
      </w:r>
      <w:bookmarkEnd w:id="46"/>
      <w:bookmarkEnd w:id="47"/>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w:t>
      </w:r>
      <w:r>
        <w:rPr>
          <w:rFonts w:ascii="仿宋_GB2312" w:hAnsi="仿宋_GB2312" w:eastAsia="仿宋_GB2312" w:cs="仿宋_GB2312"/>
          <w:color w:val="000000" w:themeColor="text1"/>
          <w:sz w:val="32"/>
          <w:szCs w:val="32"/>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年部门整体支出绩效评价情况开展自评，《开江县人民医院</w:t>
      </w:r>
      <w:r>
        <w:rPr>
          <w:rFonts w:ascii="仿宋_GB2312" w:hAnsi="仿宋_GB2312" w:eastAsia="仿宋_GB2312" w:cs="仿宋_GB2312"/>
          <w:color w:val="000000" w:themeColor="text1"/>
          <w:sz w:val="32"/>
          <w:szCs w:val="32"/>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年部门整体支出绩效评价报告》见附件（附件</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3"/>
        </w:numPr>
        <w:spacing w:line="600" w:lineRule="exact"/>
        <w:ind w:firstLine="660" w:firstLineChars="150"/>
        <w:jc w:val="left"/>
        <w:outlineLvl w:val="0"/>
        <w:rPr>
          <w:rFonts w:ascii="宋体"/>
          <w:b/>
          <w:color w:val="000000"/>
          <w:sz w:val="44"/>
          <w:szCs w:val="44"/>
        </w:rPr>
      </w:pPr>
      <w:bookmarkStart w:id="48" w:name="_Toc15396613"/>
      <w:bookmarkStart w:id="49" w:name="_Toc15377225"/>
      <w:r>
        <w:rPr>
          <w:rFonts w:hint="eastAsia" w:ascii="黑体" w:hAnsi="黑体" w:eastAsia="黑体"/>
          <w:color w:val="000000"/>
          <w:sz w:val="44"/>
          <w:szCs w:val="44"/>
        </w:rPr>
        <w:t>名</w:t>
      </w:r>
      <w:r>
        <w:rPr>
          <w:rStyle w:val="18"/>
          <w:rFonts w:hint="eastAsia" w:ascii="黑体" w:hAnsi="黑体" w:eastAsia="黑体"/>
          <w:b w:val="0"/>
        </w:rPr>
        <w:t>词解释</w:t>
      </w:r>
      <w:bookmarkEnd w:id="48"/>
      <w:bookmarkEnd w:id="49"/>
    </w:p>
    <w:p>
      <w:pPr>
        <w:pStyle w:val="3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spacing w:line="560" w:lineRule="exact"/>
        <w:ind w:firstLine="640" w:firstLineChars="200"/>
        <w:rPr>
          <w:rFonts w:ascii="仿宋_GB2312" w:eastAsia="仿宋_GB2312" w:cs="黑体"/>
          <w:sz w:val="32"/>
          <w:szCs w:val="32"/>
        </w:rPr>
      </w:pPr>
      <w:r>
        <w:rPr>
          <w:rFonts w:ascii="仿宋_GB2312" w:eastAsia="仿宋_GB2312"/>
          <w:sz w:val="32"/>
          <w:szCs w:val="32"/>
        </w:rPr>
        <w:t>32.</w:t>
      </w:r>
      <w:r>
        <w:rPr>
          <w:rFonts w:hint="eastAsia" w:ascii="仿宋_GB2312" w:eastAsia="仿宋_GB2312"/>
          <w:sz w:val="32"/>
          <w:szCs w:val="32"/>
        </w:rPr>
        <w:t>……。</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8"/>
          <w:rFonts w:ascii="黑体" w:hAnsi="黑体" w:eastAsia="黑体"/>
          <w:b w:val="0"/>
        </w:rPr>
      </w:pPr>
      <w:bookmarkStart w:id="50" w:name="_Toc15377226"/>
      <w:r>
        <w:rPr>
          <w:rFonts w:ascii="宋体"/>
          <w:b/>
          <w:color w:val="000000"/>
          <w:sz w:val="44"/>
          <w:szCs w:val="44"/>
        </w:rPr>
        <w:br w:type="page"/>
      </w:r>
      <w:bookmarkStart w:id="51" w:name="_Toc15396614"/>
      <w:r>
        <w:rPr>
          <w:rFonts w:hint="eastAsia" w:ascii="黑体" w:hAnsi="黑体" w:eastAsia="黑体"/>
          <w:color w:val="000000"/>
          <w:sz w:val="44"/>
          <w:szCs w:val="44"/>
        </w:rPr>
        <w:t>第</w:t>
      </w:r>
      <w:r>
        <w:rPr>
          <w:rStyle w:val="18"/>
          <w:rFonts w:hint="eastAsia" w:ascii="黑体" w:hAnsi="黑体" w:eastAsia="黑体"/>
          <w:b w:val="0"/>
        </w:rPr>
        <w:t>四部分</w:t>
      </w:r>
      <w:r>
        <w:rPr>
          <w:rStyle w:val="18"/>
          <w:rFonts w:ascii="黑体" w:hAnsi="黑体" w:eastAsia="黑体"/>
          <w:b w:val="0"/>
        </w:rPr>
        <w:t xml:space="preserve"> </w:t>
      </w:r>
      <w:r>
        <w:rPr>
          <w:rStyle w:val="18"/>
          <w:rFonts w:hint="eastAsia" w:ascii="黑体" w:hAnsi="黑体" w:eastAsia="黑体"/>
          <w:b w:val="0"/>
        </w:rPr>
        <w:t>附件</w:t>
      </w:r>
      <w:bookmarkEnd w:id="51"/>
    </w:p>
    <w:p>
      <w:pPr>
        <w:spacing w:line="600"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r>
        <w:rPr>
          <w:rFonts w:ascii="黑体" w:hAnsi="黑体" w:eastAsia="黑体" w:cs="黑体"/>
          <w:sz w:val="32"/>
          <w:szCs w:val="32"/>
        </w:rPr>
        <w:t>1</w:t>
      </w: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开江县人民医院</w:t>
      </w:r>
      <w:r>
        <w:rPr>
          <w:rFonts w:ascii="方正小标宋简体" w:hAnsi="宋体" w:eastAsia="方正小标宋简体"/>
          <w:color w:val="000000"/>
          <w:kern w:val="0"/>
          <w:sz w:val="40"/>
          <w:szCs w:val="44"/>
        </w:rPr>
        <w:t xml:space="preserve"> </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开江县人民医院是开江县唯一一所集医疗、教学、科研、急救及预防保健为一体的国家公立“二级甲等”综合医院、国际爱婴医院。是达州市“120”急救指挥分中心，是开江县新农合、城镇（职工）医保、交通事故、各种保险的定点急救医院，担负着全县60余万人民的康复保健、疾病救治和院前急救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纳入2020年部门决算编报的单位共1个事业单位管理，机构数量无增减变动。</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eastAsia="zh-CN"/>
          <w14:textFill>
            <w14:solidFill>
              <w14:schemeClr w14:val="tx1"/>
            </w14:solidFill>
          </w14:textFill>
        </w:rPr>
        <w:t>截至</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2020年12月31日年末编制人数在职职工人数318人，比上年减少62人。年末在职人数520人，比上年增加16人。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今年本单位总收入32178.26万元。其中：财政拨款20144.95万元，占比62.6%；事业收入12006.03万元，占比37.31%；其他收入27.28万元，占0.09%。</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52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仿宋" w:eastAsia="仿宋_GB2312"/>
          <w:sz w:val="32"/>
          <w:szCs w:val="32"/>
        </w:rPr>
        <w:t>今年本单位基本支出13970.97万元。</w:t>
      </w:r>
      <w:r>
        <w:rPr>
          <w:rFonts w:hint="eastAsia" w:ascii="仿宋_GB2312" w:hAnsi="仿宋" w:eastAsia="仿宋_GB2312"/>
          <w:color w:val="000000" w:themeColor="text1"/>
          <w:sz w:val="32"/>
          <w:szCs w:val="32"/>
          <w14:textFill>
            <w14:solidFill>
              <w14:schemeClr w14:val="tx1"/>
            </w14:solidFill>
          </w14:textFill>
        </w:rPr>
        <w:t>其中：人员经费支出6359.46万元，占比45.52%日常公用经费7611.51万元</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 xml:space="preserve"> 占比54.48%。</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（三）支出按经济分类科目分析。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（1）“三公”经费支出情况：可进行上下年对比、预决算对比，人均支出情况分析（可做表、柱图、折线图）。</w:t>
      </w:r>
    </w:p>
    <w:tbl>
      <w:tblPr>
        <w:tblStyle w:val="13"/>
        <w:tblW w:w="8917" w:type="dxa"/>
        <w:tblInd w:w="108" w:type="dxa"/>
        <w:tblLayout w:type="autofit"/>
        <w:tblCellMar>
          <w:top w:w="0" w:type="dxa"/>
          <w:left w:w="108" w:type="dxa"/>
          <w:bottom w:w="0" w:type="dxa"/>
          <w:right w:w="108" w:type="dxa"/>
        </w:tblCellMar>
      </w:tblPr>
      <w:tblGrid>
        <w:gridCol w:w="1405"/>
        <w:gridCol w:w="2404"/>
        <w:gridCol w:w="2404"/>
        <w:gridCol w:w="1161"/>
        <w:gridCol w:w="1543"/>
      </w:tblGrid>
      <w:tr>
        <w:trPr>
          <w:trHeight w:val="499" w:hRule="atLeast"/>
        </w:trPr>
        <w:tc>
          <w:tcPr>
            <w:tcW w:w="8917" w:type="dxa"/>
            <w:gridSpan w:val="5"/>
            <w:tcBorders>
              <w:top w:val="nil"/>
              <w:left w:val="nil"/>
              <w:bottom w:val="single" w:color="auto" w:sz="4" w:space="0"/>
              <w:right w:val="nil"/>
            </w:tcBorders>
            <w:shd w:val="clear" w:color="auto" w:fill="auto"/>
            <w:noWrap/>
            <w:vAlign w:val="center"/>
          </w:tcPr>
          <w:p>
            <w:pPr>
              <w:widowControl/>
              <w:adjustRightInd w:val="0"/>
              <w:snapToGrid w:val="0"/>
              <w:spacing w:after="200"/>
              <w:jc w:val="center"/>
              <w:rPr>
                <w:rFonts w:ascii="宋体" w:hAnsi="宋体" w:eastAsia="微软雅黑" w:cs="宋体"/>
                <w:color w:val="000000"/>
                <w:kern w:val="0"/>
                <w:sz w:val="28"/>
                <w:szCs w:val="28"/>
              </w:rPr>
            </w:pPr>
            <w:r>
              <w:rPr>
                <w:rFonts w:hint="eastAsia" w:ascii="方正仿宋简体" w:hAnsi="宋体" w:eastAsia="方正仿宋简体" w:cs="宋体"/>
                <w:color w:val="000000"/>
                <w:kern w:val="0"/>
                <w:sz w:val="22"/>
                <w:szCs w:val="22"/>
              </w:rPr>
              <w:t>三公经费支出情况（万元）</w:t>
            </w:r>
          </w:p>
        </w:tc>
      </w:tr>
      <w:tr>
        <w:tblPrEx>
          <w:tblCellMar>
            <w:top w:w="0" w:type="dxa"/>
            <w:left w:w="108" w:type="dxa"/>
            <w:bottom w:w="0" w:type="dxa"/>
            <w:right w:w="108" w:type="dxa"/>
          </w:tblCellMar>
        </w:tblPrEx>
        <w:trPr>
          <w:trHeight w:val="499" w:hRule="atLeast"/>
        </w:trPr>
        <w:tc>
          <w:tcPr>
            <w:tcW w:w="140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项目</w:t>
            </w:r>
          </w:p>
        </w:tc>
        <w:tc>
          <w:tcPr>
            <w:tcW w:w="7512"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与上年对比</w:t>
            </w:r>
          </w:p>
        </w:tc>
      </w:tr>
      <w:tr>
        <w:tblPrEx>
          <w:tblCellMar>
            <w:top w:w="0" w:type="dxa"/>
            <w:left w:w="108" w:type="dxa"/>
            <w:bottom w:w="0" w:type="dxa"/>
            <w:right w:w="108" w:type="dxa"/>
          </w:tblCellMar>
        </w:tblPrEx>
        <w:trPr>
          <w:trHeight w:val="499" w:hRule="atLeast"/>
        </w:trPr>
        <w:tc>
          <w:tcPr>
            <w:tcW w:w="140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宋体" w:hAnsi="宋体" w:eastAsia="微软雅黑" w:cs="宋体"/>
                <w:color w:val="000000"/>
                <w:kern w:val="0"/>
                <w:sz w:val="28"/>
                <w:szCs w:val="28"/>
              </w:rPr>
            </w:pPr>
            <w:r>
              <w:rPr>
                <w:rFonts w:hint="eastAsia" w:ascii="宋体" w:hAnsi="宋体" w:eastAsia="微软雅黑" w:cs="宋体"/>
                <w:color w:val="000000"/>
                <w:kern w:val="0"/>
                <w:sz w:val="28"/>
                <w:szCs w:val="28"/>
              </w:rPr>
              <w:t>　</w:t>
            </w:r>
          </w:p>
        </w:tc>
        <w:tc>
          <w:tcPr>
            <w:tcW w:w="240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2020年实际数</w:t>
            </w:r>
          </w:p>
        </w:tc>
        <w:tc>
          <w:tcPr>
            <w:tcW w:w="240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2019年实际数</w:t>
            </w:r>
          </w:p>
        </w:tc>
        <w:tc>
          <w:tcPr>
            <w:tcW w:w="116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增减额</w:t>
            </w:r>
          </w:p>
        </w:tc>
        <w:tc>
          <w:tcPr>
            <w:tcW w:w="15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增加比%</w:t>
            </w:r>
          </w:p>
        </w:tc>
      </w:tr>
      <w:tr>
        <w:tblPrEx>
          <w:tblCellMar>
            <w:top w:w="0" w:type="dxa"/>
            <w:left w:w="108" w:type="dxa"/>
            <w:bottom w:w="0" w:type="dxa"/>
            <w:right w:w="108" w:type="dxa"/>
          </w:tblCellMar>
        </w:tblPrEx>
        <w:trPr>
          <w:trHeight w:val="402" w:hRule="atLeast"/>
        </w:trPr>
        <w:tc>
          <w:tcPr>
            <w:tcW w:w="140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after="200"/>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公务接待费</w:t>
            </w:r>
          </w:p>
        </w:tc>
        <w:tc>
          <w:tcPr>
            <w:tcW w:w="240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4.43</w:t>
            </w:r>
          </w:p>
        </w:tc>
        <w:tc>
          <w:tcPr>
            <w:tcW w:w="240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ascii="方正仿宋简体" w:hAnsi="宋体" w:eastAsia="方正仿宋简体" w:cs="宋体"/>
                <w:color w:val="000000"/>
                <w:kern w:val="0"/>
                <w:sz w:val="22"/>
                <w:szCs w:val="22"/>
              </w:rPr>
              <w:t>25</w:t>
            </w:r>
            <w:r>
              <w:rPr>
                <w:rFonts w:hint="eastAsia" w:ascii="方正仿宋简体" w:hAnsi="宋体" w:eastAsia="方正仿宋简体" w:cs="宋体"/>
                <w:color w:val="000000"/>
                <w:kern w:val="0"/>
                <w:sz w:val="22"/>
                <w:szCs w:val="22"/>
              </w:rPr>
              <w:t>.</w:t>
            </w:r>
            <w:r>
              <w:rPr>
                <w:rFonts w:ascii="方正仿宋简体" w:hAnsi="宋体" w:eastAsia="方正仿宋简体" w:cs="宋体"/>
                <w:color w:val="000000"/>
                <w:kern w:val="0"/>
                <w:sz w:val="22"/>
                <w:szCs w:val="22"/>
              </w:rPr>
              <w:t>55</w:t>
            </w:r>
          </w:p>
        </w:tc>
        <w:tc>
          <w:tcPr>
            <w:tcW w:w="116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ind w:right="140"/>
              <w:jc w:val="righ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-21.12</w:t>
            </w:r>
          </w:p>
        </w:tc>
        <w:tc>
          <w:tcPr>
            <w:tcW w:w="15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-82.66%</w:t>
            </w:r>
          </w:p>
        </w:tc>
      </w:tr>
    </w:tbl>
    <w:p>
      <w:pPr>
        <w:widowControl/>
        <w:adjustRightInd w:val="0"/>
        <w:snapToGrid w:val="0"/>
        <w:spacing w:after="200" w:line="52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（2）会议费支出情况：可进行上下年对比、预决算对比，人均支出情况分析（可做表、柱图、折线图）。</w:t>
      </w:r>
    </w:p>
    <w:tbl>
      <w:tblPr>
        <w:tblStyle w:val="13"/>
        <w:tblW w:w="8901" w:type="dxa"/>
        <w:tblInd w:w="93" w:type="dxa"/>
        <w:tblLayout w:type="autofit"/>
        <w:tblCellMar>
          <w:top w:w="0" w:type="dxa"/>
          <w:left w:w="108" w:type="dxa"/>
          <w:bottom w:w="0" w:type="dxa"/>
          <w:right w:w="108" w:type="dxa"/>
        </w:tblCellMar>
      </w:tblPr>
      <w:tblGrid>
        <w:gridCol w:w="1227"/>
        <w:gridCol w:w="2511"/>
        <w:gridCol w:w="2511"/>
        <w:gridCol w:w="1227"/>
        <w:gridCol w:w="1425"/>
      </w:tblGrid>
      <w:tr>
        <w:tblPrEx>
          <w:tblCellMar>
            <w:top w:w="0" w:type="dxa"/>
            <w:left w:w="108" w:type="dxa"/>
            <w:bottom w:w="0" w:type="dxa"/>
            <w:right w:w="108" w:type="dxa"/>
          </w:tblCellMar>
        </w:tblPrEx>
        <w:trPr>
          <w:trHeight w:val="499" w:hRule="atLeast"/>
        </w:trPr>
        <w:tc>
          <w:tcPr>
            <w:tcW w:w="8901" w:type="dxa"/>
            <w:gridSpan w:val="5"/>
            <w:tcBorders>
              <w:top w:val="nil"/>
              <w:left w:val="nil"/>
              <w:bottom w:val="nil"/>
              <w:right w:val="nil"/>
            </w:tcBorders>
            <w:shd w:val="clear" w:color="auto" w:fill="auto"/>
            <w:noWrap/>
            <w:vAlign w:val="center"/>
          </w:tcPr>
          <w:p>
            <w:pPr>
              <w:widowControl/>
              <w:adjustRightInd w:val="0"/>
              <w:snapToGrid w:val="0"/>
              <w:spacing w:after="200"/>
              <w:jc w:val="center"/>
              <w:rPr>
                <w:rFonts w:ascii="宋体" w:hAnsi="宋体" w:eastAsia="微软雅黑" w:cs="宋体"/>
                <w:color w:val="000000"/>
                <w:kern w:val="0"/>
                <w:sz w:val="28"/>
                <w:szCs w:val="28"/>
              </w:rPr>
            </w:pPr>
            <w:r>
              <w:rPr>
                <w:rFonts w:hint="eastAsia" w:ascii="方正仿宋简体" w:hAnsi="宋体" w:eastAsia="方正仿宋简体" w:cs="宋体"/>
                <w:color w:val="000000"/>
                <w:kern w:val="0"/>
                <w:sz w:val="22"/>
                <w:szCs w:val="22"/>
              </w:rPr>
              <w:t>会议费支出情况（万元）</w:t>
            </w:r>
          </w:p>
        </w:tc>
      </w:tr>
      <w:tr>
        <w:tblPrEx>
          <w:tblCellMar>
            <w:top w:w="0" w:type="dxa"/>
            <w:left w:w="108" w:type="dxa"/>
            <w:bottom w:w="0" w:type="dxa"/>
            <w:right w:w="108" w:type="dxa"/>
          </w:tblCellMar>
        </w:tblPrEx>
        <w:trPr>
          <w:trHeight w:val="499" w:hRule="atLeast"/>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项目</w:t>
            </w:r>
          </w:p>
        </w:tc>
        <w:tc>
          <w:tcPr>
            <w:tcW w:w="767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与上年对比</w:t>
            </w:r>
          </w:p>
        </w:tc>
      </w:tr>
      <w:tr>
        <w:tblPrEx>
          <w:tblCellMar>
            <w:top w:w="0" w:type="dxa"/>
            <w:left w:w="108" w:type="dxa"/>
            <w:bottom w:w="0" w:type="dxa"/>
            <w:right w:w="108" w:type="dxa"/>
          </w:tblCellMar>
        </w:tblPrEx>
        <w:trPr>
          <w:trHeight w:val="499" w:hRule="atLeast"/>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jc w:val="center"/>
              <w:rPr>
                <w:rFonts w:ascii="方正仿宋简体" w:hAnsi="宋体" w:eastAsia="方正仿宋简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2020年实际数</w:t>
            </w:r>
          </w:p>
        </w:tc>
        <w:tc>
          <w:tcPr>
            <w:tcW w:w="251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2019年实际数</w:t>
            </w:r>
          </w:p>
        </w:tc>
        <w:tc>
          <w:tcPr>
            <w:tcW w:w="122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增减额</w:t>
            </w:r>
          </w:p>
        </w:tc>
        <w:tc>
          <w:tcPr>
            <w:tcW w:w="142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增加比%</w:t>
            </w:r>
          </w:p>
        </w:tc>
      </w:tr>
      <w:tr>
        <w:tblPrEx>
          <w:tblCellMar>
            <w:top w:w="0" w:type="dxa"/>
            <w:left w:w="108" w:type="dxa"/>
            <w:bottom w:w="0" w:type="dxa"/>
            <w:right w:w="108" w:type="dxa"/>
          </w:tblCellMar>
        </w:tblPrEx>
        <w:trPr>
          <w:trHeight w:val="499"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会议费</w:t>
            </w:r>
          </w:p>
        </w:tc>
        <w:tc>
          <w:tcPr>
            <w:tcW w:w="251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3.13</w:t>
            </w:r>
          </w:p>
        </w:tc>
        <w:tc>
          <w:tcPr>
            <w:tcW w:w="251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b/>
                <w:color w:val="000000"/>
                <w:kern w:val="0"/>
                <w:sz w:val="22"/>
                <w:szCs w:val="22"/>
              </w:rPr>
            </w:pPr>
            <w:r>
              <w:rPr>
                <w:rFonts w:hint="eastAsia" w:ascii="方正仿宋简体" w:hAnsi="宋体" w:eastAsia="方正仿宋简体" w:cs="宋体"/>
                <w:color w:val="000000"/>
                <w:kern w:val="0"/>
                <w:sz w:val="22"/>
                <w:szCs w:val="22"/>
              </w:rPr>
              <w:t>5.92</w:t>
            </w:r>
          </w:p>
        </w:tc>
        <w:tc>
          <w:tcPr>
            <w:tcW w:w="122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-2.79</w:t>
            </w:r>
          </w:p>
        </w:tc>
        <w:tc>
          <w:tcPr>
            <w:tcW w:w="142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-47.13%</w:t>
            </w:r>
          </w:p>
        </w:tc>
      </w:tr>
    </w:tbl>
    <w:p>
      <w:pPr>
        <w:widowControl/>
        <w:adjustRightInd w:val="0"/>
        <w:snapToGrid w:val="0"/>
        <w:spacing w:after="200" w:line="52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（3）培训费支出情况：可进行上下年对比、预决算对比，人均支出情况分析（可做表、柱图、折线图）。</w:t>
      </w:r>
    </w:p>
    <w:tbl>
      <w:tblPr>
        <w:tblStyle w:val="13"/>
        <w:tblW w:w="8901" w:type="dxa"/>
        <w:tblInd w:w="93" w:type="dxa"/>
        <w:tblLayout w:type="autofit"/>
        <w:tblCellMar>
          <w:top w:w="0" w:type="dxa"/>
          <w:left w:w="108" w:type="dxa"/>
          <w:bottom w:w="0" w:type="dxa"/>
          <w:right w:w="108" w:type="dxa"/>
        </w:tblCellMar>
      </w:tblPr>
      <w:tblGrid>
        <w:gridCol w:w="1227"/>
        <w:gridCol w:w="2511"/>
        <w:gridCol w:w="2511"/>
        <w:gridCol w:w="1227"/>
        <w:gridCol w:w="1425"/>
      </w:tblGrid>
      <w:tr>
        <w:tblPrEx>
          <w:tblCellMar>
            <w:top w:w="0" w:type="dxa"/>
            <w:left w:w="108" w:type="dxa"/>
            <w:bottom w:w="0" w:type="dxa"/>
            <w:right w:w="108" w:type="dxa"/>
          </w:tblCellMar>
        </w:tblPrEx>
        <w:trPr>
          <w:trHeight w:val="499" w:hRule="atLeast"/>
        </w:trPr>
        <w:tc>
          <w:tcPr>
            <w:tcW w:w="8901" w:type="dxa"/>
            <w:gridSpan w:val="5"/>
            <w:tcBorders>
              <w:top w:val="nil"/>
              <w:left w:val="nil"/>
              <w:bottom w:val="nil"/>
              <w:right w:val="nil"/>
            </w:tcBorders>
            <w:shd w:val="clear" w:color="auto" w:fill="auto"/>
            <w:noWrap/>
            <w:vAlign w:val="center"/>
          </w:tcPr>
          <w:p>
            <w:pPr>
              <w:widowControl/>
              <w:adjustRightInd w:val="0"/>
              <w:snapToGrid w:val="0"/>
              <w:spacing w:after="200"/>
              <w:jc w:val="center"/>
              <w:rPr>
                <w:rFonts w:ascii="宋体" w:hAnsi="宋体" w:eastAsia="微软雅黑" w:cs="宋体"/>
                <w:color w:val="000000"/>
                <w:kern w:val="0"/>
                <w:sz w:val="28"/>
                <w:szCs w:val="28"/>
              </w:rPr>
            </w:pPr>
            <w:r>
              <w:rPr>
                <w:rFonts w:hint="eastAsia" w:ascii="方正仿宋简体" w:hAnsi="宋体" w:eastAsia="方正仿宋简体" w:cs="宋体"/>
                <w:color w:val="000000"/>
                <w:kern w:val="0"/>
                <w:sz w:val="22"/>
                <w:szCs w:val="22"/>
              </w:rPr>
              <w:t>培训费支出情况（万元）</w:t>
            </w:r>
          </w:p>
        </w:tc>
      </w:tr>
      <w:tr>
        <w:tblPrEx>
          <w:tblCellMar>
            <w:top w:w="0" w:type="dxa"/>
            <w:left w:w="108" w:type="dxa"/>
            <w:bottom w:w="0" w:type="dxa"/>
            <w:right w:w="108" w:type="dxa"/>
          </w:tblCellMar>
        </w:tblPrEx>
        <w:trPr>
          <w:trHeight w:val="499" w:hRule="atLeast"/>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项目</w:t>
            </w:r>
          </w:p>
        </w:tc>
        <w:tc>
          <w:tcPr>
            <w:tcW w:w="767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与上年对比</w:t>
            </w:r>
          </w:p>
        </w:tc>
      </w:tr>
      <w:tr>
        <w:tblPrEx>
          <w:tblCellMar>
            <w:top w:w="0" w:type="dxa"/>
            <w:left w:w="108" w:type="dxa"/>
            <w:bottom w:w="0" w:type="dxa"/>
            <w:right w:w="108" w:type="dxa"/>
          </w:tblCellMar>
        </w:tblPrEx>
        <w:trPr>
          <w:trHeight w:val="499" w:hRule="atLeast"/>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jc w:val="center"/>
              <w:rPr>
                <w:rFonts w:ascii="方正仿宋简体" w:hAnsi="宋体" w:eastAsia="方正仿宋简体" w:cs="宋体"/>
                <w:color w:val="000000"/>
                <w:kern w:val="0"/>
                <w:sz w:val="22"/>
                <w:szCs w:val="22"/>
              </w:rPr>
            </w:pPr>
          </w:p>
        </w:tc>
        <w:tc>
          <w:tcPr>
            <w:tcW w:w="251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2020年实际数</w:t>
            </w:r>
          </w:p>
        </w:tc>
        <w:tc>
          <w:tcPr>
            <w:tcW w:w="251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2019年实际数</w:t>
            </w:r>
          </w:p>
        </w:tc>
        <w:tc>
          <w:tcPr>
            <w:tcW w:w="122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增减额</w:t>
            </w:r>
          </w:p>
        </w:tc>
        <w:tc>
          <w:tcPr>
            <w:tcW w:w="142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增加比%</w:t>
            </w:r>
          </w:p>
        </w:tc>
      </w:tr>
      <w:tr>
        <w:tblPrEx>
          <w:tblCellMar>
            <w:top w:w="0" w:type="dxa"/>
            <w:left w:w="108" w:type="dxa"/>
            <w:bottom w:w="0" w:type="dxa"/>
            <w:right w:w="108" w:type="dxa"/>
          </w:tblCellMar>
        </w:tblPrEx>
        <w:trPr>
          <w:trHeight w:val="499"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培训费</w:t>
            </w:r>
          </w:p>
        </w:tc>
        <w:tc>
          <w:tcPr>
            <w:tcW w:w="251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67.64</w:t>
            </w:r>
          </w:p>
        </w:tc>
        <w:tc>
          <w:tcPr>
            <w:tcW w:w="251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ascii="方正仿宋简体" w:hAnsi="宋体" w:eastAsia="方正仿宋简体" w:cs="宋体"/>
                <w:color w:val="000000"/>
                <w:kern w:val="0"/>
                <w:sz w:val="22"/>
                <w:szCs w:val="22"/>
              </w:rPr>
              <w:t>61</w:t>
            </w:r>
            <w:r>
              <w:rPr>
                <w:rFonts w:hint="eastAsia" w:ascii="方正仿宋简体" w:hAnsi="宋体" w:eastAsia="方正仿宋简体" w:cs="宋体"/>
                <w:color w:val="000000"/>
                <w:kern w:val="0"/>
                <w:sz w:val="22"/>
                <w:szCs w:val="22"/>
              </w:rPr>
              <w:t>.</w:t>
            </w:r>
            <w:r>
              <w:rPr>
                <w:rFonts w:ascii="方正仿宋简体" w:hAnsi="宋体" w:eastAsia="方正仿宋简体" w:cs="宋体"/>
                <w:color w:val="000000"/>
                <w:kern w:val="0"/>
                <w:sz w:val="22"/>
                <w:szCs w:val="22"/>
              </w:rPr>
              <w:t>09</w:t>
            </w:r>
          </w:p>
        </w:tc>
        <w:tc>
          <w:tcPr>
            <w:tcW w:w="122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6.55</w:t>
            </w:r>
          </w:p>
        </w:tc>
        <w:tc>
          <w:tcPr>
            <w:tcW w:w="142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after="200"/>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10.72%</w:t>
            </w:r>
          </w:p>
        </w:tc>
      </w:tr>
    </w:tbl>
    <w:p>
      <w:pPr>
        <w:widowControl/>
        <w:adjustRightInd w:val="0"/>
        <w:snapToGrid w:val="0"/>
        <w:spacing w:after="200" w:line="52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（四）财政拨款收入、支出分析</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2020年财政拨款收入20144.95元。其中：一般公共预算财政拨款收入2007.7万元</w:t>
      </w:r>
      <w:r>
        <w:rPr>
          <w:rFonts w:hint="eastAsia" w:ascii="仿宋_GB2312" w:hAnsi="仿宋" w:eastAsia="仿宋_GB2312"/>
          <w:sz w:val="32"/>
          <w:szCs w:val="32"/>
          <w:lang w:eastAsia="zh-CN"/>
        </w:rPr>
        <w:t>，</w:t>
      </w:r>
      <w:r>
        <w:rPr>
          <w:rFonts w:hint="eastAsia" w:ascii="仿宋_GB2312" w:hAnsi="仿宋" w:eastAsia="仿宋_GB2312"/>
          <w:sz w:val="32"/>
          <w:szCs w:val="32"/>
        </w:rPr>
        <w:t>政府性基金财政拨款18137.25万元。</w:t>
      </w:r>
    </w:p>
    <w:p>
      <w:pPr>
        <w:spacing w:line="52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2020年财政拨款支出32178.26万元，其中：基本支出12719.44万元，项目支出19458.82万元。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严格按照财政要求编制并上报年度预决算，根据财政部门的工作安排开展工作，按照规定批复预决算执行工作，单位严格按照县委、县政府、卫健局、财政及国家法律法规开展单位预算，债务，资产，政府采购，绩效评价等工作，并接受财政、审计等部门的监督检查。</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4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2020年度全年</w:t>
      </w:r>
      <w:r>
        <w:rPr>
          <w:rFonts w:hint="eastAsia" w:ascii="仿宋_GB2312" w:hAnsi="仿宋" w:eastAsia="仿宋_GB2312"/>
          <w:color w:val="000000" w:themeColor="text1"/>
          <w:sz w:val="32"/>
          <w:szCs w:val="32"/>
          <w:lang w:eastAsia="zh-CN"/>
          <w14:textFill>
            <w14:solidFill>
              <w14:schemeClr w14:val="tx1"/>
            </w14:solidFill>
          </w14:textFill>
        </w:rPr>
        <w:t>收治</w:t>
      </w:r>
      <w:r>
        <w:rPr>
          <w:rFonts w:hint="eastAsia" w:ascii="仿宋_GB2312" w:hAnsi="仿宋" w:eastAsia="仿宋_GB2312"/>
          <w:color w:val="000000" w:themeColor="text1"/>
          <w:sz w:val="32"/>
          <w:szCs w:val="32"/>
          <w14:textFill>
            <w14:solidFill>
              <w14:schemeClr w14:val="tx1"/>
            </w14:solidFill>
          </w14:textFill>
        </w:rPr>
        <w:t>患者13851人次，其中门诊人次138433人次，出院患者13981人次。</w:t>
      </w:r>
    </w:p>
    <w:p>
      <w:pPr>
        <w:spacing w:line="540" w:lineRule="exact"/>
        <w:ind w:firstLine="640" w:firstLineChars="200"/>
        <w:rPr>
          <w:rFonts w:ascii="仿宋_GB2312" w:hAnsi="仿宋"/>
          <w:sz w:val="32"/>
          <w:szCs w:val="32"/>
        </w:rPr>
      </w:pPr>
      <w:r>
        <w:rPr>
          <w:rFonts w:hint="eastAsia" w:ascii="仿宋_GB2312" w:hAnsi="仿宋" w:eastAsia="仿宋_GB2312"/>
          <w:sz w:val="32"/>
          <w:szCs w:val="32"/>
        </w:rPr>
        <w:t>本单位在上级主管部门的领导下，服务能力持续提升，改善医院服务形象，提升科技服务含量，建立远程医疗会诊中心。加大人才引进力度，人才紧张趋于缓解。打造学科带头人，引进新技术新项目等方面取得了较好的成绩。</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本年度较好地完成了县委政府交办的工作任务，为全县及周边居民的健康需求提供了基本保障。高质量完成全年绩效目标。</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无</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80" w:lineRule="exact"/>
        <w:rPr>
          <w:rFonts w:ascii="仿宋_GB2312" w:hAnsi="仿宋_GB2312" w:eastAsia="仿宋_GB2312" w:cs="仿宋_GB2312"/>
          <w:sz w:val="32"/>
          <w:szCs w:val="32"/>
        </w:rPr>
      </w:pPr>
    </w:p>
    <w:p>
      <w:pPr>
        <w:spacing w:line="520" w:lineRule="exact"/>
        <w:ind w:firstLine="5440" w:firstLineChars="1700"/>
        <w:rPr>
          <w:rFonts w:ascii="仿宋_GB2312" w:hAnsi="仿宋" w:eastAsia="仿宋_GB2312"/>
          <w:sz w:val="32"/>
          <w:szCs w:val="32"/>
        </w:rPr>
      </w:pPr>
      <w:r>
        <w:rPr>
          <w:rFonts w:hint="eastAsia" w:ascii="仿宋_GB2312" w:hAnsi="仿宋" w:eastAsia="仿宋_GB2312"/>
          <w:sz w:val="32"/>
          <w:szCs w:val="32"/>
        </w:rPr>
        <w:t>开江县人民医院</w:t>
      </w:r>
    </w:p>
    <w:p>
      <w:pPr>
        <w:spacing w:line="520" w:lineRule="exact"/>
        <w:ind w:firstLine="5440" w:firstLineChars="1700"/>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rPr>
        <w:t>21</w:t>
      </w:r>
      <w:r>
        <w:rPr>
          <w:rFonts w:ascii="仿宋_GB2312" w:hAnsi="仿宋" w:eastAsia="仿宋_GB2312"/>
          <w:sz w:val="32"/>
          <w:szCs w:val="32"/>
        </w:rPr>
        <w:t>年</w:t>
      </w:r>
      <w:r>
        <w:rPr>
          <w:rFonts w:hint="eastAsia" w:ascii="仿宋_GB2312" w:hAnsi="仿宋" w:eastAsia="仿宋_GB2312"/>
          <w:sz w:val="32"/>
          <w:szCs w:val="32"/>
        </w:rPr>
        <w:t>10</w:t>
      </w:r>
      <w:r>
        <w:rPr>
          <w:rFonts w:ascii="仿宋_GB2312" w:hAnsi="仿宋" w:eastAsia="仿宋_GB2312"/>
          <w:sz w:val="32"/>
          <w:szCs w:val="32"/>
        </w:rPr>
        <w:t>月</w:t>
      </w:r>
      <w:r>
        <w:rPr>
          <w:rFonts w:hint="eastAsia" w:ascii="仿宋_GB2312" w:hAnsi="仿宋" w:eastAsia="仿宋_GB2312"/>
          <w:sz w:val="32"/>
          <w:szCs w:val="32"/>
        </w:rPr>
        <w:t>8</w:t>
      </w:r>
      <w:r>
        <w:rPr>
          <w:rFonts w:ascii="仿宋_GB2312" w:hAnsi="仿宋" w:eastAsia="仿宋_GB2312"/>
          <w:sz w:val="32"/>
          <w:szCs w:val="32"/>
        </w:rPr>
        <w:t>日</w:t>
      </w: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520" w:lineRule="exact"/>
        <w:ind w:firstLine="5440" w:firstLineChars="1700"/>
        <w:rPr>
          <w:rFonts w:ascii="仿宋_GB2312" w:hAnsi="仿宋" w:eastAsia="仿宋_GB2312"/>
          <w:sz w:val="32"/>
          <w:szCs w:val="32"/>
        </w:rPr>
      </w:pPr>
    </w:p>
    <w:p>
      <w:pPr>
        <w:spacing w:line="600" w:lineRule="exact"/>
        <w:jc w:val="center"/>
        <w:outlineLvl w:val="0"/>
        <w:rPr>
          <w:rStyle w:val="18"/>
          <w:rFonts w:ascii="黑体" w:hAnsi="黑体" w:eastAsia="黑体"/>
          <w:b w:val="0"/>
        </w:rPr>
      </w:pPr>
      <w:bookmarkStart w:id="52" w:name="_Toc15396618"/>
      <w:r>
        <w:rPr>
          <w:rFonts w:hint="eastAsia" w:ascii="黑体" w:hAnsi="黑体" w:eastAsia="黑体"/>
          <w:color w:val="000000"/>
          <w:sz w:val="44"/>
          <w:szCs w:val="44"/>
        </w:rPr>
        <w:t>第</w:t>
      </w:r>
      <w:r>
        <w:rPr>
          <w:rStyle w:val="18"/>
          <w:rFonts w:hint="eastAsia" w:ascii="黑体" w:hAnsi="黑体" w:eastAsia="黑体"/>
          <w:b w:val="0"/>
        </w:rPr>
        <w:t>五部分</w:t>
      </w:r>
      <w:r>
        <w:rPr>
          <w:rStyle w:val="18"/>
          <w:rFonts w:ascii="黑体" w:hAnsi="黑体" w:eastAsia="黑体"/>
          <w:b w:val="0"/>
        </w:rPr>
        <w:t xml:space="preserve"> </w:t>
      </w:r>
      <w:r>
        <w:rPr>
          <w:rStyle w:val="18"/>
          <w:rFonts w:hint="eastAsia" w:ascii="黑体" w:hAnsi="黑体" w:eastAsia="黑体"/>
          <w:b w:val="0"/>
        </w:rPr>
        <w:t>附表</w:t>
      </w:r>
      <w:bookmarkEnd w:id="50"/>
      <w:bookmarkEnd w:id="52"/>
    </w:p>
    <w:p>
      <w:pPr>
        <w:spacing w:line="600" w:lineRule="exact"/>
        <w:jc w:val="center"/>
        <w:outlineLvl w:val="0"/>
        <w:rPr>
          <w:rFonts w:ascii="仿宋" w:hAnsi="仿宋" w:eastAsia="仿宋"/>
          <w:b/>
          <w:color w:val="000000"/>
          <w:sz w:val="44"/>
          <w:szCs w:val="44"/>
        </w:rPr>
      </w:pPr>
    </w:p>
    <w:p>
      <w:pPr>
        <w:pStyle w:val="3"/>
        <w:spacing w:line="300" w:lineRule="exact"/>
        <w:rPr>
          <w:rFonts w:ascii="仿宋" w:hAnsi="仿宋" w:eastAsia="仿宋"/>
          <w:color w:val="000000"/>
        </w:rPr>
      </w:pPr>
      <w:bookmarkStart w:id="53" w:name="_Toc15396619"/>
      <w:r>
        <w:rPr>
          <w:rFonts w:hint="eastAsia" w:ascii="仿宋" w:hAnsi="仿宋" w:eastAsia="仿宋"/>
          <w:b w:val="0"/>
          <w:color w:val="000000"/>
        </w:rPr>
        <w:t>一、收</w:t>
      </w:r>
      <w:r>
        <w:rPr>
          <w:rStyle w:val="19"/>
          <w:rFonts w:hint="eastAsia" w:ascii="仿宋" w:hAnsi="仿宋" w:eastAsia="仿宋"/>
          <w:b w:val="0"/>
          <w:bCs w:val="0"/>
        </w:rPr>
        <w:t>入支出决算总表</w:t>
      </w:r>
      <w:bookmarkEnd w:id="53"/>
    </w:p>
    <w:p>
      <w:pPr>
        <w:pStyle w:val="3"/>
        <w:spacing w:line="300" w:lineRule="exact"/>
        <w:rPr>
          <w:rFonts w:ascii="仿宋" w:hAnsi="仿宋" w:eastAsia="仿宋"/>
          <w:color w:val="000000"/>
        </w:rPr>
      </w:pPr>
      <w:bookmarkStart w:id="54" w:name="_Toc15396620"/>
      <w:r>
        <w:rPr>
          <w:rFonts w:hint="eastAsia" w:ascii="仿宋" w:hAnsi="仿宋" w:eastAsia="仿宋"/>
          <w:b w:val="0"/>
          <w:color w:val="000000"/>
        </w:rPr>
        <w:t>二、收</w:t>
      </w:r>
      <w:r>
        <w:rPr>
          <w:rStyle w:val="19"/>
          <w:rFonts w:hint="eastAsia" w:ascii="仿宋" w:hAnsi="仿宋" w:eastAsia="仿宋"/>
          <w:b w:val="0"/>
          <w:bCs w:val="0"/>
        </w:rPr>
        <w:t>入决算表</w:t>
      </w:r>
      <w:bookmarkEnd w:id="54"/>
    </w:p>
    <w:p>
      <w:pPr>
        <w:pStyle w:val="3"/>
        <w:spacing w:line="300" w:lineRule="exact"/>
        <w:rPr>
          <w:rFonts w:ascii="仿宋" w:hAnsi="仿宋" w:eastAsia="仿宋"/>
          <w:color w:val="000000"/>
        </w:rPr>
      </w:pPr>
      <w:bookmarkStart w:id="55" w:name="_Toc15396621"/>
      <w:r>
        <w:rPr>
          <w:rStyle w:val="19"/>
          <w:rFonts w:hint="eastAsia" w:ascii="仿宋" w:hAnsi="仿宋" w:eastAsia="仿宋"/>
          <w:b w:val="0"/>
          <w:bCs w:val="0"/>
        </w:rPr>
        <w:t>三、</w:t>
      </w:r>
      <w:r>
        <w:rPr>
          <w:rFonts w:hint="eastAsia" w:ascii="仿宋" w:hAnsi="仿宋" w:eastAsia="仿宋"/>
          <w:b w:val="0"/>
          <w:color w:val="000000"/>
        </w:rPr>
        <w:t>支</w:t>
      </w:r>
      <w:r>
        <w:rPr>
          <w:rStyle w:val="19"/>
          <w:rFonts w:hint="eastAsia" w:ascii="仿宋" w:hAnsi="仿宋" w:eastAsia="仿宋"/>
          <w:b w:val="0"/>
          <w:bCs w:val="0"/>
        </w:rPr>
        <w:t>出决算表</w:t>
      </w:r>
      <w:bookmarkEnd w:id="55"/>
    </w:p>
    <w:p>
      <w:pPr>
        <w:pStyle w:val="3"/>
        <w:spacing w:line="300" w:lineRule="exact"/>
        <w:rPr>
          <w:rFonts w:ascii="仿宋" w:hAnsi="仿宋" w:eastAsia="仿宋"/>
          <w:b w:val="0"/>
          <w:color w:val="000000"/>
        </w:rPr>
      </w:pPr>
      <w:bookmarkStart w:id="56" w:name="_Toc15396622"/>
      <w:r>
        <w:rPr>
          <w:rStyle w:val="19"/>
          <w:rFonts w:hint="eastAsia" w:ascii="仿宋" w:hAnsi="仿宋" w:eastAsia="仿宋"/>
          <w:b w:val="0"/>
          <w:bCs w:val="0"/>
        </w:rPr>
        <w:t>四、</w:t>
      </w:r>
      <w:r>
        <w:rPr>
          <w:rFonts w:hint="eastAsia" w:ascii="仿宋" w:hAnsi="仿宋" w:eastAsia="仿宋"/>
          <w:b w:val="0"/>
          <w:color w:val="000000"/>
        </w:rPr>
        <w:t>财</w:t>
      </w:r>
      <w:r>
        <w:rPr>
          <w:rStyle w:val="19"/>
          <w:rFonts w:hint="eastAsia" w:ascii="仿宋" w:hAnsi="仿宋" w:eastAsia="仿宋"/>
          <w:b w:val="0"/>
          <w:bCs w:val="0"/>
        </w:rPr>
        <w:t>政拨款收入支出决算总表</w:t>
      </w:r>
      <w:bookmarkEnd w:id="56"/>
    </w:p>
    <w:p>
      <w:pPr>
        <w:pStyle w:val="3"/>
        <w:spacing w:line="300" w:lineRule="exact"/>
        <w:rPr>
          <w:rStyle w:val="19"/>
          <w:rFonts w:ascii="仿宋" w:hAnsi="仿宋" w:eastAsia="仿宋"/>
          <w:b w:val="0"/>
          <w:bCs w:val="0"/>
        </w:rPr>
      </w:pPr>
      <w:bookmarkStart w:id="57" w:name="_Toc15396623"/>
      <w:r>
        <w:rPr>
          <w:rStyle w:val="19"/>
          <w:rFonts w:hint="eastAsia" w:ascii="仿宋" w:hAnsi="仿宋" w:eastAsia="仿宋"/>
          <w:b w:val="0"/>
          <w:bCs w:val="0"/>
        </w:rPr>
        <w:t>五、</w:t>
      </w:r>
      <w:r>
        <w:rPr>
          <w:rFonts w:hint="eastAsia" w:ascii="仿宋" w:hAnsi="仿宋" w:eastAsia="仿宋"/>
          <w:b w:val="0"/>
          <w:color w:val="000000"/>
        </w:rPr>
        <w:t>财</w:t>
      </w:r>
      <w:r>
        <w:rPr>
          <w:rStyle w:val="19"/>
          <w:rFonts w:hint="eastAsia" w:ascii="仿宋" w:hAnsi="仿宋" w:eastAsia="仿宋"/>
          <w:b w:val="0"/>
          <w:bCs w:val="0"/>
        </w:rPr>
        <w:t>政拨款支出决算明细表</w:t>
      </w:r>
      <w:bookmarkEnd w:id="57"/>
      <w:bookmarkStart w:id="58" w:name="_Toc15396624"/>
    </w:p>
    <w:p>
      <w:pPr>
        <w:pStyle w:val="3"/>
        <w:spacing w:line="300" w:lineRule="exact"/>
        <w:rPr>
          <w:rFonts w:ascii="仿宋" w:hAnsi="仿宋" w:eastAsia="仿宋"/>
          <w:color w:val="000000"/>
        </w:rPr>
      </w:pPr>
      <w:r>
        <w:rPr>
          <w:rStyle w:val="19"/>
          <w:rFonts w:hint="eastAsia" w:ascii="仿宋" w:hAnsi="仿宋" w:eastAsia="仿宋"/>
          <w:b w:val="0"/>
          <w:bCs w:val="0"/>
        </w:rPr>
        <w:t>六、</w:t>
      </w:r>
      <w:r>
        <w:rPr>
          <w:rFonts w:hint="eastAsia" w:ascii="仿宋" w:hAnsi="仿宋" w:eastAsia="仿宋"/>
          <w:b w:val="0"/>
          <w:color w:val="000000"/>
        </w:rPr>
        <w:t>一</w:t>
      </w:r>
      <w:r>
        <w:rPr>
          <w:rStyle w:val="19"/>
          <w:rFonts w:hint="eastAsia" w:ascii="仿宋" w:hAnsi="仿宋" w:eastAsia="仿宋"/>
          <w:b w:val="0"/>
          <w:bCs w:val="0"/>
        </w:rPr>
        <w:t>般公共预算财政拨款支出决算表</w:t>
      </w:r>
      <w:bookmarkEnd w:id="58"/>
    </w:p>
    <w:p>
      <w:pPr>
        <w:pStyle w:val="3"/>
        <w:spacing w:line="300" w:lineRule="exact"/>
        <w:rPr>
          <w:rFonts w:ascii="仿宋" w:hAnsi="仿宋" w:eastAsia="仿宋"/>
          <w:color w:val="000000"/>
        </w:rPr>
      </w:pPr>
      <w:bookmarkStart w:id="59" w:name="_Toc15396625"/>
      <w:r>
        <w:rPr>
          <w:rStyle w:val="19"/>
          <w:rFonts w:hint="eastAsia" w:ascii="仿宋" w:hAnsi="仿宋" w:eastAsia="仿宋"/>
          <w:b w:val="0"/>
          <w:bCs w:val="0"/>
        </w:rPr>
        <w:t>七、</w:t>
      </w:r>
      <w:r>
        <w:rPr>
          <w:rFonts w:hint="eastAsia" w:ascii="仿宋" w:hAnsi="仿宋" w:eastAsia="仿宋"/>
          <w:b w:val="0"/>
          <w:color w:val="000000"/>
        </w:rPr>
        <w:t>一</w:t>
      </w:r>
      <w:r>
        <w:rPr>
          <w:rStyle w:val="19"/>
          <w:rFonts w:hint="eastAsia" w:ascii="仿宋" w:hAnsi="仿宋" w:eastAsia="仿宋"/>
          <w:b w:val="0"/>
          <w:bCs w:val="0"/>
        </w:rPr>
        <w:t>般公共预算财政拨款支出决算明细表</w:t>
      </w:r>
      <w:bookmarkEnd w:id="59"/>
    </w:p>
    <w:p>
      <w:pPr>
        <w:pStyle w:val="3"/>
        <w:spacing w:line="300" w:lineRule="exact"/>
        <w:rPr>
          <w:rFonts w:ascii="仿宋" w:hAnsi="仿宋" w:eastAsia="仿宋"/>
          <w:color w:val="000000"/>
        </w:rPr>
      </w:pPr>
      <w:bookmarkStart w:id="60" w:name="_Toc15396626"/>
      <w:r>
        <w:rPr>
          <w:rStyle w:val="19"/>
          <w:rFonts w:hint="eastAsia" w:ascii="仿宋" w:hAnsi="仿宋" w:eastAsia="仿宋"/>
          <w:b w:val="0"/>
          <w:bCs w:val="0"/>
        </w:rPr>
        <w:t>八、</w:t>
      </w:r>
      <w:r>
        <w:rPr>
          <w:rFonts w:hint="eastAsia" w:ascii="仿宋" w:hAnsi="仿宋" w:eastAsia="仿宋"/>
          <w:b w:val="0"/>
          <w:color w:val="000000"/>
        </w:rPr>
        <w:t>一</w:t>
      </w:r>
      <w:r>
        <w:rPr>
          <w:rStyle w:val="19"/>
          <w:rFonts w:hint="eastAsia" w:ascii="仿宋" w:hAnsi="仿宋" w:eastAsia="仿宋"/>
          <w:b w:val="0"/>
          <w:bCs w:val="0"/>
        </w:rPr>
        <w:t>般公共预算财政拨款基本支出决算表</w:t>
      </w:r>
      <w:bookmarkEnd w:id="60"/>
    </w:p>
    <w:p>
      <w:pPr>
        <w:pStyle w:val="3"/>
        <w:spacing w:line="300" w:lineRule="exact"/>
        <w:rPr>
          <w:rFonts w:ascii="仿宋" w:hAnsi="仿宋" w:eastAsia="仿宋"/>
          <w:color w:val="000000"/>
        </w:rPr>
      </w:pPr>
      <w:bookmarkStart w:id="61" w:name="_Toc15396627"/>
      <w:r>
        <w:rPr>
          <w:rStyle w:val="19"/>
          <w:rFonts w:hint="eastAsia" w:ascii="仿宋" w:hAnsi="仿宋" w:eastAsia="仿宋"/>
          <w:b w:val="0"/>
          <w:bCs w:val="0"/>
        </w:rPr>
        <w:t>九、</w:t>
      </w:r>
      <w:r>
        <w:rPr>
          <w:rFonts w:hint="eastAsia" w:ascii="仿宋" w:hAnsi="仿宋" w:eastAsia="仿宋"/>
          <w:b w:val="0"/>
          <w:color w:val="000000"/>
        </w:rPr>
        <w:t>一</w:t>
      </w:r>
      <w:r>
        <w:rPr>
          <w:rStyle w:val="19"/>
          <w:rFonts w:hint="eastAsia" w:ascii="仿宋" w:hAnsi="仿宋" w:eastAsia="仿宋"/>
          <w:b w:val="0"/>
          <w:bCs w:val="0"/>
        </w:rPr>
        <w:t>般公共预算财政拨款项目支出决算表</w:t>
      </w:r>
      <w:bookmarkEnd w:id="61"/>
    </w:p>
    <w:p>
      <w:pPr>
        <w:pStyle w:val="3"/>
        <w:spacing w:line="300" w:lineRule="exact"/>
        <w:rPr>
          <w:rFonts w:ascii="仿宋" w:hAnsi="仿宋" w:eastAsia="仿宋"/>
          <w:color w:val="000000"/>
        </w:rPr>
      </w:pPr>
      <w:bookmarkStart w:id="62" w:name="_Toc15396628"/>
      <w:r>
        <w:rPr>
          <w:rStyle w:val="19"/>
          <w:rFonts w:hint="eastAsia" w:ascii="仿宋" w:hAnsi="仿宋" w:eastAsia="仿宋"/>
          <w:b w:val="0"/>
          <w:bCs w:val="0"/>
        </w:rPr>
        <w:t>十、</w:t>
      </w:r>
      <w:r>
        <w:rPr>
          <w:rFonts w:hint="eastAsia" w:ascii="仿宋" w:hAnsi="仿宋" w:eastAsia="仿宋"/>
          <w:b w:val="0"/>
          <w:color w:val="000000"/>
        </w:rPr>
        <w:t>一</w:t>
      </w:r>
      <w:r>
        <w:rPr>
          <w:rStyle w:val="19"/>
          <w:rFonts w:hint="eastAsia" w:ascii="仿宋" w:hAnsi="仿宋" w:eastAsia="仿宋"/>
          <w:b w:val="0"/>
          <w:bCs w:val="0"/>
        </w:rPr>
        <w:t>般公共预算财政拨款“三公”经费支出决算表</w:t>
      </w:r>
      <w:bookmarkEnd w:id="62"/>
    </w:p>
    <w:p>
      <w:pPr>
        <w:pStyle w:val="3"/>
        <w:spacing w:line="300" w:lineRule="exact"/>
        <w:rPr>
          <w:rFonts w:ascii="仿宋" w:hAnsi="仿宋" w:eastAsia="仿宋"/>
          <w:color w:val="000000"/>
        </w:rPr>
      </w:pPr>
      <w:bookmarkStart w:id="63" w:name="_Toc15396629"/>
      <w:r>
        <w:rPr>
          <w:rStyle w:val="19"/>
          <w:rFonts w:hint="eastAsia" w:ascii="仿宋" w:hAnsi="仿宋" w:eastAsia="仿宋"/>
          <w:b w:val="0"/>
          <w:bCs w:val="0"/>
        </w:rPr>
        <w:t>十一、</w:t>
      </w:r>
      <w:r>
        <w:rPr>
          <w:rFonts w:hint="eastAsia" w:ascii="仿宋" w:hAnsi="仿宋" w:eastAsia="仿宋"/>
          <w:b w:val="0"/>
          <w:color w:val="000000"/>
        </w:rPr>
        <w:t>政</w:t>
      </w:r>
      <w:r>
        <w:rPr>
          <w:rStyle w:val="19"/>
          <w:rFonts w:hint="eastAsia" w:ascii="仿宋" w:hAnsi="仿宋" w:eastAsia="仿宋"/>
          <w:b w:val="0"/>
          <w:bCs w:val="0"/>
        </w:rPr>
        <w:t>府性基金预算财政拨款收入支出决算表</w:t>
      </w:r>
      <w:bookmarkEnd w:id="63"/>
    </w:p>
    <w:p>
      <w:pPr>
        <w:pStyle w:val="3"/>
        <w:spacing w:line="300" w:lineRule="exact"/>
        <w:rPr>
          <w:rFonts w:ascii="仿宋" w:hAnsi="仿宋" w:eastAsia="仿宋"/>
          <w:color w:val="000000"/>
        </w:rPr>
      </w:pPr>
      <w:bookmarkStart w:id="64" w:name="_Toc15396630"/>
      <w:r>
        <w:rPr>
          <w:rStyle w:val="19"/>
          <w:rFonts w:hint="eastAsia" w:ascii="仿宋" w:hAnsi="仿宋" w:eastAsia="仿宋"/>
          <w:b w:val="0"/>
          <w:bCs w:val="0"/>
        </w:rPr>
        <w:t>十二、</w:t>
      </w:r>
      <w:r>
        <w:rPr>
          <w:rFonts w:hint="eastAsia" w:ascii="仿宋" w:hAnsi="仿宋" w:eastAsia="仿宋"/>
          <w:b w:val="0"/>
          <w:color w:val="000000"/>
        </w:rPr>
        <w:t>政</w:t>
      </w:r>
      <w:r>
        <w:rPr>
          <w:rStyle w:val="19"/>
          <w:rFonts w:hint="eastAsia" w:ascii="仿宋" w:hAnsi="仿宋" w:eastAsia="仿宋"/>
          <w:b w:val="0"/>
          <w:bCs w:val="0"/>
        </w:rPr>
        <w:t>府性基金预算财政拨款“三公”经费支出决算表</w:t>
      </w:r>
      <w:bookmarkEnd w:id="64"/>
    </w:p>
    <w:p>
      <w:pPr>
        <w:pStyle w:val="3"/>
        <w:spacing w:line="300" w:lineRule="exact"/>
        <w:rPr>
          <w:rStyle w:val="19"/>
          <w:rFonts w:ascii="仿宋" w:hAnsi="仿宋" w:eastAsia="仿宋"/>
          <w:b w:val="0"/>
          <w:bCs w:val="0"/>
        </w:rPr>
      </w:pPr>
      <w:bookmarkStart w:id="65" w:name="_Toc15396631"/>
      <w:r>
        <w:rPr>
          <w:rStyle w:val="19"/>
          <w:rFonts w:hint="eastAsia" w:ascii="仿宋" w:hAnsi="仿宋" w:eastAsia="仿宋"/>
          <w:b w:val="0"/>
          <w:bCs w:val="0"/>
        </w:rPr>
        <w:t>十三、</w:t>
      </w:r>
      <w:r>
        <w:rPr>
          <w:rFonts w:hint="eastAsia" w:ascii="仿宋" w:hAnsi="仿宋" w:eastAsia="仿宋"/>
          <w:b w:val="0"/>
          <w:color w:val="000000"/>
        </w:rPr>
        <w:t>国</w:t>
      </w:r>
      <w:r>
        <w:rPr>
          <w:rStyle w:val="19"/>
          <w:rFonts w:hint="eastAsia" w:ascii="仿宋" w:hAnsi="仿宋" w:eastAsia="仿宋"/>
          <w:b w:val="0"/>
          <w:bCs w:val="0"/>
        </w:rPr>
        <w:t>有资本经营预算财政拨款收入支出决算表</w:t>
      </w:r>
      <w:bookmarkEnd w:id="65"/>
    </w:p>
    <w:p>
      <w:pPr>
        <w:pStyle w:val="3"/>
        <w:spacing w:line="300" w:lineRule="exact"/>
        <w:rPr>
          <w:rStyle w:val="19"/>
          <w:rFonts w:ascii="仿宋" w:hAnsi="仿宋" w:eastAsia="仿宋"/>
          <w:b w:val="0"/>
          <w:bCs w:val="0"/>
        </w:rPr>
      </w:pPr>
      <w:r>
        <w:rPr>
          <w:rStyle w:val="19"/>
          <w:rFonts w:hint="eastAsia" w:ascii="仿宋" w:hAnsi="仿宋" w:eastAsia="仿宋"/>
          <w:b w:val="0"/>
          <w:bCs w:val="0"/>
        </w:rPr>
        <w:t>十四、</w:t>
      </w:r>
      <w:r>
        <w:rPr>
          <w:rFonts w:hint="eastAsia" w:ascii="仿宋" w:hAnsi="仿宋" w:eastAsia="仿宋"/>
          <w:b w:val="0"/>
          <w:color w:val="000000"/>
        </w:rPr>
        <w:t>国</w:t>
      </w:r>
      <w:r>
        <w:rPr>
          <w:rStyle w:val="19"/>
          <w:rFonts w:hint="eastAsia" w:ascii="仿宋" w:hAnsi="仿宋" w:eastAsia="仿宋"/>
          <w:b w:val="0"/>
          <w:bCs w:val="0"/>
        </w:rPr>
        <w:t>有资本经营预算财政拨款支出决算表</w:t>
      </w: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18</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4239"/>
    <w:rsid w:val="000222C6"/>
    <w:rsid w:val="0002549F"/>
    <w:rsid w:val="000468DB"/>
    <w:rsid w:val="00052206"/>
    <w:rsid w:val="0006487A"/>
    <w:rsid w:val="00065F8F"/>
    <w:rsid w:val="00070A43"/>
    <w:rsid w:val="000768F2"/>
    <w:rsid w:val="00080F6F"/>
    <w:rsid w:val="0009184B"/>
    <w:rsid w:val="00094236"/>
    <w:rsid w:val="0009593C"/>
    <w:rsid w:val="00097322"/>
    <w:rsid w:val="000A1311"/>
    <w:rsid w:val="000A57C1"/>
    <w:rsid w:val="000A6A92"/>
    <w:rsid w:val="000B047F"/>
    <w:rsid w:val="000B5923"/>
    <w:rsid w:val="000B5A48"/>
    <w:rsid w:val="000B6FF3"/>
    <w:rsid w:val="000C3467"/>
    <w:rsid w:val="000C3CA6"/>
    <w:rsid w:val="000D1267"/>
    <w:rsid w:val="000D1D50"/>
    <w:rsid w:val="000D22E9"/>
    <w:rsid w:val="000D4DF6"/>
    <w:rsid w:val="000D5782"/>
    <w:rsid w:val="000E6613"/>
    <w:rsid w:val="000E7119"/>
    <w:rsid w:val="00114E9B"/>
    <w:rsid w:val="00115301"/>
    <w:rsid w:val="001319E1"/>
    <w:rsid w:val="00142216"/>
    <w:rsid w:val="00142242"/>
    <w:rsid w:val="00144D6A"/>
    <w:rsid w:val="0014729F"/>
    <w:rsid w:val="00157BAB"/>
    <w:rsid w:val="001654D1"/>
    <w:rsid w:val="00174518"/>
    <w:rsid w:val="0018106D"/>
    <w:rsid w:val="00181542"/>
    <w:rsid w:val="001877A7"/>
    <w:rsid w:val="00191536"/>
    <w:rsid w:val="00196687"/>
    <w:rsid w:val="001A4B2B"/>
    <w:rsid w:val="001C0962"/>
    <w:rsid w:val="001C22D2"/>
    <w:rsid w:val="001D7531"/>
    <w:rsid w:val="001E609D"/>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766DC"/>
    <w:rsid w:val="00280496"/>
    <w:rsid w:val="00284252"/>
    <w:rsid w:val="00294DC9"/>
    <w:rsid w:val="00295495"/>
    <w:rsid w:val="002A31DE"/>
    <w:rsid w:val="002B2613"/>
    <w:rsid w:val="002D6D05"/>
    <w:rsid w:val="002F1818"/>
    <w:rsid w:val="002F567B"/>
    <w:rsid w:val="00321677"/>
    <w:rsid w:val="003216A9"/>
    <w:rsid w:val="00326384"/>
    <w:rsid w:val="00335A74"/>
    <w:rsid w:val="0036561B"/>
    <w:rsid w:val="0037013F"/>
    <w:rsid w:val="00380C92"/>
    <w:rsid w:val="003860F9"/>
    <w:rsid w:val="003A484F"/>
    <w:rsid w:val="003A4883"/>
    <w:rsid w:val="003B0BE0"/>
    <w:rsid w:val="003B0C1B"/>
    <w:rsid w:val="003B688C"/>
    <w:rsid w:val="003C0291"/>
    <w:rsid w:val="003C39AE"/>
    <w:rsid w:val="003C7B60"/>
    <w:rsid w:val="003D0AB9"/>
    <w:rsid w:val="003D0C0F"/>
    <w:rsid w:val="003D1FB2"/>
    <w:rsid w:val="003D66DA"/>
    <w:rsid w:val="003E1310"/>
    <w:rsid w:val="003E6F55"/>
    <w:rsid w:val="00403540"/>
    <w:rsid w:val="00406254"/>
    <w:rsid w:val="004174F5"/>
    <w:rsid w:val="004223DE"/>
    <w:rsid w:val="0043009F"/>
    <w:rsid w:val="00431C4D"/>
    <w:rsid w:val="00434489"/>
    <w:rsid w:val="00437085"/>
    <w:rsid w:val="00443880"/>
    <w:rsid w:val="004464F4"/>
    <w:rsid w:val="00471401"/>
    <w:rsid w:val="00473F31"/>
    <w:rsid w:val="0048263A"/>
    <w:rsid w:val="00487E5D"/>
    <w:rsid w:val="004A0925"/>
    <w:rsid w:val="004A711F"/>
    <w:rsid w:val="004B199D"/>
    <w:rsid w:val="004B4690"/>
    <w:rsid w:val="004E0A2D"/>
    <w:rsid w:val="004E206B"/>
    <w:rsid w:val="004E6DF7"/>
    <w:rsid w:val="004F0962"/>
    <w:rsid w:val="004F0FBD"/>
    <w:rsid w:val="00505A47"/>
    <w:rsid w:val="00512FDA"/>
    <w:rsid w:val="00520DA0"/>
    <w:rsid w:val="005269D7"/>
    <w:rsid w:val="005664BB"/>
    <w:rsid w:val="00566FFA"/>
    <w:rsid w:val="00567549"/>
    <w:rsid w:val="00571870"/>
    <w:rsid w:val="0057465F"/>
    <w:rsid w:val="0057481D"/>
    <w:rsid w:val="0058486E"/>
    <w:rsid w:val="00585B33"/>
    <w:rsid w:val="0059014D"/>
    <w:rsid w:val="005B5C64"/>
    <w:rsid w:val="005C5337"/>
    <w:rsid w:val="005C6BD0"/>
    <w:rsid w:val="005D1C8B"/>
    <w:rsid w:val="005D468D"/>
    <w:rsid w:val="005D5CED"/>
    <w:rsid w:val="005D624B"/>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4EB"/>
    <w:rsid w:val="0066343B"/>
    <w:rsid w:val="00664777"/>
    <w:rsid w:val="0066504C"/>
    <w:rsid w:val="00665ED6"/>
    <w:rsid w:val="006748A4"/>
    <w:rsid w:val="00681A31"/>
    <w:rsid w:val="0068317B"/>
    <w:rsid w:val="00683E73"/>
    <w:rsid w:val="006A3141"/>
    <w:rsid w:val="006A35C3"/>
    <w:rsid w:val="006A5E34"/>
    <w:rsid w:val="006B2422"/>
    <w:rsid w:val="006B2B9A"/>
    <w:rsid w:val="006C1937"/>
    <w:rsid w:val="006E676B"/>
    <w:rsid w:val="006F020C"/>
    <w:rsid w:val="007041E0"/>
    <w:rsid w:val="007127B7"/>
    <w:rsid w:val="007150E7"/>
    <w:rsid w:val="0071798E"/>
    <w:rsid w:val="007257B2"/>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7030"/>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06A4"/>
    <w:rsid w:val="00923564"/>
    <w:rsid w:val="0092392E"/>
    <w:rsid w:val="009315F9"/>
    <w:rsid w:val="00933499"/>
    <w:rsid w:val="009334D8"/>
    <w:rsid w:val="00935C98"/>
    <w:rsid w:val="00946945"/>
    <w:rsid w:val="00951248"/>
    <w:rsid w:val="0095152F"/>
    <w:rsid w:val="00954C49"/>
    <w:rsid w:val="00955E37"/>
    <w:rsid w:val="00966834"/>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5CD1"/>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4F74"/>
    <w:rsid w:val="00B161B8"/>
    <w:rsid w:val="00B2048C"/>
    <w:rsid w:val="00B310B9"/>
    <w:rsid w:val="00B35F3F"/>
    <w:rsid w:val="00B36CBB"/>
    <w:rsid w:val="00B4124F"/>
    <w:rsid w:val="00B425E0"/>
    <w:rsid w:val="00B440AA"/>
    <w:rsid w:val="00B44B70"/>
    <w:rsid w:val="00B46F08"/>
    <w:rsid w:val="00B53C56"/>
    <w:rsid w:val="00B57DAF"/>
    <w:rsid w:val="00B77EA6"/>
    <w:rsid w:val="00B81598"/>
    <w:rsid w:val="00B841F1"/>
    <w:rsid w:val="00B90E4E"/>
    <w:rsid w:val="00B944D6"/>
    <w:rsid w:val="00B965DC"/>
    <w:rsid w:val="00BA53AE"/>
    <w:rsid w:val="00BB4DF0"/>
    <w:rsid w:val="00BC289F"/>
    <w:rsid w:val="00BC2D50"/>
    <w:rsid w:val="00BC5361"/>
    <w:rsid w:val="00BC5460"/>
    <w:rsid w:val="00BC6B50"/>
    <w:rsid w:val="00BD0E25"/>
    <w:rsid w:val="00BF5BD6"/>
    <w:rsid w:val="00C03E31"/>
    <w:rsid w:val="00C21736"/>
    <w:rsid w:val="00C325F3"/>
    <w:rsid w:val="00C33E72"/>
    <w:rsid w:val="00C354B2"/>
    <w:rsid w:val="00C35554"/>
    <w:rsid w:val="00C42709"/>
    <w:rsid w:val="00C533CC"/>
    <w:rsid w:val="00C5751C"/>
    <w:rsid w:val="00C61BFC"/>
    <w:rsid w:val="00C62B85"/>
    <w:rsid w:val="00C65438"/>
    <w:rsid w:val="00C8273E"/>
    <w:rsid w:val="00C87FD8"/>
    <w:rsid w:val="00C91381"/>
    <w:rsid w:val="00C91CBB"/>
    <w:rsid w:val="00C974FC"/>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4807"/>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B7161"/>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6657D"/>
    <w:rsid w:val="00F754A1"/>
    <w:rsid w:val="00F81FD9"/>
    <w:rsid w:val="00F841AA"/>
    <w:rsid w:val="00F84A94"/>
    <w:rsid w:val="00F87E96"/>
    <w:rsid w:val="00FA23E8"/>
    <w:rsid w:val="00FD3CC1"/>
    <w:rsid w:val="00FF1E02"/>
    <w:rsid w:val="00FF30B4"/>
    <w:rsid w:val="0A2032A3"/>
    <w:rsid w:val="10C055FF"/>
    <w:rsid w:val="118107EC"/>
    <w:rsid w:val="16BB723D"/>
    <w:rsid w:val="1D155CEE"/>
    <w:rsid w:val="240371BF"/>
    <w:rsid w:val="29FD04D3"/>
    <w:rsid w:val="319F7F4E"/>
    <w:rsid w:val="4ECE2238"/>
    <w:rsid w:val="55634B63"/>
    <w:rsid w:val="68D4647D"/>
    <w:rsid w:val="6C4A05C8"/>
    <w:rsid w:val="6CE732D1"/>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Date"/>
    <w:basedOn w:val="1"/>
    <w:next w:val="1"/>
    <w:link w:val="31"/>
    <w:semiHidden/>
    <w:unhideWhenUsed/>
    <w:uiPriority w:val="99"/>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rFonts w:cs="Times New Roman"/>
      <w:b/>
    </w:rPr>
  </w:style>
  <w:style w:type="character" w:styleId="16">
    <w:name w:val="Hyperlink"/>
    <w:basedOn w:val="14"/>
    <w:unhideWhenUsed/>
    <w:qFormat/>
    <w:uiPriority w:val="99"/>
    <w:rPr>
      <w:rFonts w:cs="Times New Roman"/>
      <w:color w:val="0000FF"/>
      <w:u w:val="single"/>
    </w:rPr>
  </w:style>
  <w:style w:type="character" w:customStyle="1" w:styleId="17">
    <w:name w:val="Header Char"/>
    <w:basedOn w:val="14"/>
    <w:semiHidden/>
    <w:qFormat/>
    <w:uiPriority w:val="99"/>
    <w:rPr>
      <w:rFonts w:ascii="Times New Roman" w:hAnsi="Times New Roman" w:cs="Times New Roman"/>
      <w:sz w:val="18"/>
      <w:szCs w:val="18"/>
    </w:rPr>
  </w:style>
  <w:style w:type="character" w:customStyle="1" w:styleId="18">
    <w:name w:val="标题 1 Char"/>
    <w:basedOn w:val="14"/>
    <w:link w:val="2"/>
    <w:qFormat/>
    <w:locked/>
    <w:uiPriority w:val="9"/>
    <w:rPr>
      <w:rFonts w:ascii="Times New Roman" w:hAnsi="Times New Roman" w:cs="Times New Roman"/>
      <w:b/>
      <w:bCs/>
      <w:kern w:val="44"/>
      <w:sz w:val="44"/>
      <w:szCs w:val="44"/>
    </w:rPr>
  </w:style>
  <w:style w:type="character" w:customStyle="1" w:styleId="19">
    <w:name w:val="标题 2 Char"/>
    <w:basedOn w:val="14"/>
    <w:link w:val="3"/>
    <w:qFormat/>
    <w:locked/>
    <w:uiPriority w:val="9"/>
    <w:rPr>
      <w:rFonts w:ascii="Cambria" w:hAnsi="Cambria" w:eastAsia="宋体" w:cs="Times New Roman"/>
      <w:b/>
      <w:bCs/>
      <w:kern w:val="2"/>
      <w:sz w:val="32"/>
      <w:szCs w:val="32"/>
    </w:rPr>
  </w:style>
  <w:style w:type="character" w:customStyle="1" w:styleId="20">
    <w:name w:val="页脚 Char"/>
    <w:qFormat/>
    <w:locked/>
    <w:uiPriority w:val="99"/>
    <w:rPr>
      <w:sz w:val="18"/>
    </w:rPr>
  </w:style>
  <w:style w:type="character" w:customStyle="1" w:styleId="21">
    <w:name w:val="标题 3 Char"/>
    <w:basedOn w:val="14"/>
    <w:link w:val="4"/>
    <w:qFormat/>
    <w:locked/>
    <w:uiPriority w:val="9"/>
    <w:rPr>
      <w:rFonts w:ascii="Times New Roman" w:hAnsi="Times New Roman" w:cs="Times New Roman"/>
      <w:b/>
      <w:bCs/>
      <w:kern w:val="2"/>
      <w:sz w:val="32"/>
      <w:szCs w:val="32"/>
    </w:rPr>
  </w:style>
  <w:style w:type="character" w:customStyle="1" w:styleId="22">
    <w:name w:val="页脚 Char1"/>
    <w:basedOn w:val="14"/>
    <w:link w:val="9"/>
    <w:semiHidden/>
    <w:qFormat/>
    <w:uiPriority w:val="99"/>
    <w:rPr>
      <w:rFonts w:ascii="Times New Roman" w:hAnsi="Times New Roman" w:cs="Times New Roman"/>
      <w:sz w:val="18"/>
      <w:szCs w:val="18"/>
    </w:rPr>
  </w:style>
  <w:style w:type="character" w:customStyle="1" w:styleId="23">
    <w:name w:val="Body Text Char"/>
    <w:basedOn w:val="14"/>
    <w:semiHidden/>
    <w:qFormat/>
    <w:uiPriority w:val="99"/>
    <w:rPr>
      <w:rFonts w:ascii="Times New Roman" w:hAnsi="Times New Roman" w:cs="Times New Roman"/>
      <w:sz w:val="24"/>
      <w:szCs w:val="24"/>
    </w:rPr>
  </w:style>
  <w:style w:type="character" w:customStyle="1" w:styleId="24">
    <w:name w:val="正文文本 Char"/>
    <w:link w:val="5"/>
    <w:qFormat/>
    <w:locked/>
    <w:uiPriority w:val="99"/>
    <w:rPr>
      <w:rFonts w:ascii="仿宋_GB2312" w:hAnsi="Times New Roman" w:eastAsia="仿宋_GB2312"/>
      <w:sz w:val="24"/>
    </w:rPr>
  </w:style>
  <w:style w:type="character" w:customStyle="1" w:styleId="25">
    <w:name w:val="批注框文本 Char"/>
    <w:basedOn w:val="14"/>
    <w:link w:val="8"/>
    <w:semiHidden/>
    <w:qFormat/>
    <w:locked/>
    <w:uiPriority w:val="99"/>
    <w:rPr>
      <w:rFonts w:ascii="Times New Roman" w:hAnsi="Times New Roman" w:cs="Times New Roman"/>
      <w:kern w:val="2"/>
      <w:sz w:val="18"/>
      <w:szCs w:val="18"/>
    </w:rPr>
  </w:style>
  <w:style w:type="character" w:customStyle="1" w:styleId="26">
    <w:name w:val="页眉 Char"/>
    <w:link w:val="10"/>
    <w:semiHidden/>
    <w:qFormat/>
    <w:locked/>
    <w:uiPriority w:val="99"/>
    <w:rPr>
      <w:sz w:val="18"/>
    </w:rPr>
  </w:style>
  <w:style w:type="paragraph" w:customStyle="1" w:styleId="27">
    <w:name w:val="列出段落1"/>
    <w:basedOn w:val="1"/>
    <w:qFormat/>
    <w:uiPriority w:val="34"/>
    <w:pPr>
      <w:ind w:firstLine="420" w:firstLineChars="200"/>
    </w:pPr>
  </w:style>
  <w:style w:type="paragraph" w:customStyle="1" w:styleId="2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1">
    <w:name w:val="日期 Char"/>
    <w:basedOn w:val="14"/>
    <w:link w:val="7"/>
    <w:semiHidden/>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收入支出决算总体情况表</a:t>
            </a:r>
            <a:endParaRPr lang="zh-CN" altLang="en-US"/>
          </a:p>
        </c:rich>
      </c:tx>
      <c:layout/>
      <c:overlay val="0"/>
    </c:title>
    <c:autoTitleDeleted val="0"/>
    <c:plotArea>
      <c:layout/>
      <c:barChart>
        <c:barDir val="col"/>
        <c:grouping val="stacked"/>
        <c:varyColors val="0"/>
        <c:ser>
          <c:idx val="0"/>
          <c:order val="0"/>
          <c:tx>
            <c:strRef>
              <c:f>Sheet1!$B$1</c:f>
              <c:strCache>
                <c:ptCount val="1"/>
                <c:pt idx="0">
                  <c:v>收入支出决算总体情况表</c:v>
                </c:pt>
              </c:strCache>
            </c:strRef>
          </c:tx>
          <c:invertIfNegative val="0"/>
          <c:dLbls>
            <c:dLbl>
              <c:idx val="0"/>
              <c:layout>
                <c:manualLayout>
                  <c:x val="5.73876345333534e-7"/>
                  <c:y val="-0.050945389162184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23591.68</c:v>
                </c:pt>
                <c:pt idx="1">
                  <c:v>32178.26</c:v>
                </c:pt>
              </c:numCache>
            </c:numRef>
          </c:val>
        </c:ser>
        <c:dLbls>
          <c:showLegendKey val="0"/>
          <c:showVal val="0"/>
          <c:showCatName val="0"/>
          <c:showSerName val="0"/>
          <c:showPercent val="0"/>
          <c:showBubbleSize val="0"/>
        </c:dLbls>
        <c:gapWidth val="150"/>
        <c:overlap val="100"/>
        <c:axId val="84876672"/>
        <c:axId val="84919424"/>
      </c:barChart>
      <c:catAx>
        <c:axId val="848766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919424"/>
        <c:crosses val="autoZero"/>
        <c:auto val="1"/>
        <c:lblAlgn val="ctr"/>
        <c:lblOffset val="100"/>
        <c:noMultiLvlLbl val="0"/>
      </c:catAx>
      <c:valAx>
        <c:axId val="84919424"/>
        <c:scaling>
          <c:orientation val="minMax"/>
          <c:max val="350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876672"/>
        <c:crosses val="autoZero"/>
        <c:crossBetween val="between"/>
        <c:majorUnit val="5000"/>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2007.7</c:v>
                </c:pt>
                <c:pt idx="1">
                  <c:v>18137.25</c:v>
                </c:pt>
                <c:pt idx="2">
                  <c:v>12006.03</c:v>
                </c:pt>
                <c:pt idx="3">
                  <c:v>27.28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51789652169788"/>
          <c:y val="0.392309456463573"/>
          <c:w val="0.435590704223197"/>
          <c:h val="0.39013836862625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12719.44</c:v>
                </c:pt>
                <c:pt idx="1">
                  <c:v>19458.82</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财政拨款收、支决算总计变动情况</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8693.69</c:v>
                </c:pt>
                <c:pt idx="1">
                  <c:v>20144.95</c:v>
                </c:pt>
              </c:numCache>
            </c:numRef>
          </c:val>
        </c:ser>
        <c:dLbls>
          <c:showLegendKey val="0"/>
          <c:showVal val="1"/>
          <c:showCatName val="0"/>
          <c:showSerName val="0"/>
          <c:showPercent val="0"/>
          <c:showBubbleSize val="0"/>
        </c:dLbls>
        <c:gapWidth val="150"/>
        <c:overlap val="100"/>
        <c:axId val="55455104"/>
        <c:axId val="92673152"/>
      </c:barChart>
      <c:catAx>
        <c:axId val="554551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673152"/>
        <c:crosses val="autoZero"/>
        <c:auto val="1"/>
        <c:lblAlgn val="ctr"/>
        <c:lblOffset val="100"/>
        <c:noMultiLvlLbl val="0"/>
      </c:catAx>
      <c:valAx>
        <c:axId val="926731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545510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一般公共预算财政拨款支出决算变动情况</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5693.69</c:v>
                </c:pt>
                <c:pt idx="1">
                  <c:v>2007.7</c:v>
                </c:pt>
              </c:numCache>
            </c:numRef>
          </c:val>
        </c:ser>
        <c:dLbls>
          <c:showLegendKey val="0"/>
          <c:showVal val="1"/>
          <c:showCatName val="0"/>
          <c:showSerName val="0"/>
          <c:showPercent val="0"/>
          <c:showBubbleSize val="0"/>
        </c:dLbls>
        <c:gapWidth val="150"/>
        <c:overlap val="100"/>
        <c:axId val="92698880"/>
        <c:axId val="92704768"/>
      </c:barChart>
      <c:catAx>
        <c:axId val="926988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704768"/>
        <c:crosses val="autoZero"/>
        <c:auto val="1"/>
        <c:lblAlgn val="ctr"/>
        <c:lblOffset val="100"/>
        <c:noMultiLvlLbl val="0"/>
      </c:catAx>
      <c:valAx>
        <c:axId val="927047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69888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般公共预算财政拨款支出决算结构</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社会保障和就业</c:v>
                </c:pt>
                <c:pt idx="1">
                  <c:v>卫生健康支出</c:v>
                </c:pt>
              </c:strCache>
            </c:strRef>
          </c:cat>
          <c:val>
            <c:numRef>
              <c:f>Sheet1!$B$2:$B$3</c:f>
              <c:numCache>
                <c:formatCode>General</c:formatCode>
                <c:ptCount val="2"/>
                <c:pt idx="0">
                  <c:v>100</c:v>
                </c:pt>
                <c:pt idx="1">
                  <c:v>1907.7</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D1CE0-248A-46E9-9224-252EA3D1B173}">
  <ds:schemaRefs/>
</ds:datastoreItem>
</file>

<file path=customXml/itemProps3.xml><?xml version="1.0" encoding="utf-8"?>
<ds:datastoreItem xmlns:ds="http://schemas.openxmlformats.org/officeDocument/2006/customXml" ds:itemID="{F83BC227-E509-4571-9D87-6D987E91721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888</Words>
  <Characters>5066</Characters>
  <Lines>42</Lines>
  <Paragraphs>11</Paragraphs>
  <TotalTime>91</TotalTime>
  <ScaleCrop>false</ScaleCrop>
  <LinksUpToDate>false</LinksUpToDate>
  <CharactersWithSpaces>5943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2021-10-28T03:48:00Z</dcterms:created>
  <dc:creator>曹颖</dc:creator>
  <cp:lastModifiedBy></cp:lastModifiedBy>
  <cp:lastPrinted>2021-07-29T03:56:00Z</cp:lastPrinted>
  <dcterms:modified xsi:type="dcterms:W3CDTF">2021-10-28T08:35:56Z</dcterms:modified>
  <dc:title>四川省***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EA8546E5F387444186B5E9A55A6DA7D8</vt:lpwstr>
  </property>
</Properties>
</file>