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44" w:lineRule="auto"/>
        <w:rPr>
          <w:rFonts w:hint="default" w:ascii="Times New Roman" w:hAnsi="Times New Roman" w:cs="Times New Roman"/>
          <w:spacing w:val="0"/>
          <w:sz w:val="24"/>
        </w:rPr>
      </w:pPr>
    </w:p>
    <w:p>
      <w:pPr>
        <w:spacing w:line="244" w:lineRule="auto"/>
        <w:jc w:val="center"/>
        <w:rPr>
          <w:rFonts w:hint="default" w:ascii="Times New Roman" w:hAnsi="Times New Roman" w:cs="Times New Roman"/>
          <w:spacing w:val="0"/>
          <w:sz w:val="72"/>
          <w:szCs w:val="44"/>
        </w:rPr>
      </w:pPr>
    </w:p>
    <w:p>
      <w:pPr>
        <w:spacing w:line="245" w:lineRule="auto"/>
        <w:rPr>
          <w:rFonts w:hint="default" w:ascii="Times New Roman" w:hAnsi="Times New Roman" w:cs="Times New Roman"/>
          <w:spacing w:val="0"/>
          <w:sz w:val="72"/>
          <w:szCs w:val="44"/>
        </w:rPr>
      </w:pPr>
    </w:p>
    <w:p>
      <w:pPr>
        <w:jc w:val="center"/>
        <w:rPr>
          <w:rFonts w:hint="default" w:ascii="Times New Roman" w:hAnsi="Times New Roman" w:cs="Times New Roman"/>
          <w:spacing w:val="0"/>
          <w:sz w:val="72"/>
          <w:szCs w:val="44"/>
        </w:rPr>
      </w:pPr>
      <w:r>
        <w:rPr>
          <w:rFonts w:hint="default" w:ascii="Times New Roman" w:hAnsi="Times New Roman" w:cs="Times New Roman"/>
          <w:spacing w:val="0"/>
          <w:sz w:val="72"/>
          <w:szCs w:val="44"/>
        </w:rPr>
        <w:t>2020年度</w:t>
      </w:r>
    </w:p>
    <w:p>
      <w:pPr>
        <w:jc w:val="center"/>
        <w:rPr>
          <w:rFonts w:hint="default" w:ascii="Times New Roman" w:hAnsi="Times New Roman" w:cs="Times New Roman"/>
          <w:spacing w:val="0"/>
          <w:sz w:val="72"/>
          <w:szCs w:val="44"/>
        </w:rPr>
      </w:pPr>
      <w:r>
        <w:rPr>
          <w:rFonts w:hint="default" w:ascii="Times New Roman" w:hAnsi="Times New Roman" w:cs="Times New Roman"/>
          <w:spacing w:val="0"/>
          <w:sz w:val="72"/>
          <w:szCs w:val="44"/>
        </w:rPr>
        <w:t>四川省</w:t>
      </w:r>
      <w:r>
        <w:rPr>
          <w:rFonts w:hint="default" w:ascii="Times New Roman" w:hAnsi="Times New Roman" w:cs="Times New Roman"/>
          <w:spacing w:val="0"/>
          <w:sz w:val="72"/>
          <w:szCs w:val="44"/>
          <w:lang w:eastAsia="zh-CN"/>
        </w:rPr>
        <w:t>开江县</w:t>
      </w:r>
      <w:r>
        <w:rPr>
          <w:rFonts w:hint="default" w:ascii="Times New Roman" w:hAnsi="Times New Roman" w:cs="Times New Roman"/>
          <w:spacing w:val="0"/>
          <w:sz w:val="72"/>
          <w:szCs w:val="44"/>
        </w:rPr>
        <w:t>开江中学</w:t>
      </w:r>
    </w:p>
    <w:p>
      <w:pPr>
        <w:jc w:val="center"/>
        <w:rPr>
          <w:rFonts w:hint="default" w:ascii="Times New Roman" w:hAnsi="Times New Roman" w:cs="Times New Roman"/>
          <w:spacing w:val="0"/>
          <w:sz w:val="72"/>
          <w:szCs w:val="44"/>
          <w:lang w:eastAsia="zh-CN"/>
        </w:rPr>
      </w:pPr>
      <w:r>
        <w:rPr>
          <w:rFonts w:hint="default" w:ascii="Times New Roman" w:hAnsi="Times New Roman" w:cs="Times New Roman"/>
          <w:spacing w:val="0"/>
          <w:sz w:val="72"/>
          <w:szCs w:val="44"/>
        </w:rPr>
        <w:t>部门决</w:t>
      </w:r>
      <w:r>
        <w:rPr>
          <w:rFonts w:hint="default" w:ascii="Times New Roman" w:hAnsi="Times New Roman" w:cs="Times New Roman"/>
          <w:spacing w:val="0"/>
          <w:sz w:val="72"/>
          <w:szCs w:val="44"/>
          <w:lang w:eastAsia="zh-CN"/>
        </w:rPr>
        <w:t>算</w:t>
      </w:r>
    </w:p>
    <w:p>
      <w:pPr>
        <w:bidi w:val="0"/>
        <w:rPr>
          <w:rFonts w:hint="default" w:ascii="Arial" w:hAnsi="Arial" w:cs="Times New Roman" w:eastAsiaTheme="minorEastAsia"/>
          <w:snapToGrid w:val="0"/>
          <w:color w:val="000000"/>
          <w:sz w:val="30"/>
          <w:szCs w:val="21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586"/>
        </w:tabs>
        <w:bidi w:val="0"/>
        <w:jc w:val="left"/>
        <w:rPr>
          <w:rFonts w:hint="default"/>
          <w:lang w:val="en-US" w:eastAsia="zh-CN"/>
        </w:rPr>
        <w:sectPr>
          <w:pgSz w:w="11906" w:h="16839"/>
          <w:pgMar w:top="2098" w:right="1474" w:bottom="1984" w:left="1587" w:header="0" w:footer="0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eastAsia"/>
          <w:lang w:val="en-US" w:eastAsia="zh-CN"/>
        </w:rPr>
        <w:tab/>
      </w:r>
    </w:p>
    <w:p>
      <w:pPr>
        <w:spacing w:line="286" w:lineRule="auto"/>
        <w:rPr>
          <w:rFonts w:hint="default" w:ascii="Times New Roman" w:hAnsi="Times New Roman" w:cs="Times New Roman"/>
          <w:spacing w:val="0"/>
        </w:rPr>
      </w:pPr>
    </w:p>
    <w:p>
      <w:pPr>
        <w:spacing w:before="208" w:line="180" w:lineRule="auto"/>
        <w:ind w:firstLine="3769"/>
        <w:jc w:val="both"/>
        <w:rPr>
          <w:rFonts w:hint="default" w:ascii="Times New Roman" w:hAnsi="Times New Roman" w:eastAsia="新宋体" w:cs="Times New Roman"/>
          <w:spacing w:val="0"/>
          <w:sz w:val="56"/>
          <w:szCs w:val="56"/>
        </w:rPr>
      </w:pPr>
      <w:r>
        <w:rPr>
          <w:rFonts w:hint="default" w:ascii="Times New Roman" w:hAnsi="Times New Roman" w:eastAsia="新宋体" w:cs="Times New Roman"/>
          <w:spacing w:val="0"/>
          <w:sz w:val="56"/>
          <w:szCs w:val="56"/>
        </w:rPr>
        <w:t>目    录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snapToGrid w:val="0"/>
          <w:color w:val="000000"/>
          <w:spacing w:val="0"/>
          <w:sz w:val="24"/>
          <w:szCs w:val="24"/>
          <w:lang w:val="en-US" w:eastAsia="zh-CN" w:bidi="ar-SA"/>
        </w:rPr>
      </w:pPr>
    </w:p>
    <w:sdt>
      <w:sdtPr>
        <w:rPr>
          <w:rFonts w:hint="default" w:ascii="Times New Roman" w:hAnsi="Times New Roman" w:eastAsia="宋体" w:cs="Times New Roman"/>
          <w:snapToGrid w:val="0"/>
          <w:color w:val="000000"/>
          <w:spacing w:val="0"/>
          <w:sz w:val="24"/>
          <w:szCs w:val="24"/>
          <w:lang w:val="en-US" w:eastAsia="zh-CN" w:bidi="ar-SA"/>
        </w:rPr>
        <w:id w:val="14746222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spacing w:val="0"/>
          <w:sz w:val="30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Times New Roman" w:hAnsi="Times New Roman" w:cs="Times New Roman"/>
              <w:spacing w:val="0"/>
              <w:sz w:val="24"/>
              <w:szCs w:val="24"/>
            </w:rPr>
          </w:pP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_Toc29346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第一部分  单位概况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_Toc29346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_Toc26893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一、 职能简介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_Toc26893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_Toc2098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二、 2020 年重点工作完成情况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_Toc2098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_Toc12550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第二部分  2020 年度部门决算情况说明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_Toc12550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_Toc15217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一、 收入支出决算总体情况说明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_Toc15217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_Toc1636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二、 收入决算情况说明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_Toc1636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_Toc15394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三、 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_Toc15394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7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_Toc6041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四、 财政拨款收入支出决算总体情况说明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_Toc6041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8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_Toc3540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五、 一般公共预算财政拨款支出决算情况说明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_Toc3540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8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_Toc21808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（一）一般公共预算财政拨款支出决算总体情况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_Toc21808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8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_Toc5822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（二）一般公共预算财政拨款支出决算结构情况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_Toc5822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9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_Toc17235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（三）一般公共预算财政拨款支出决算具体情况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_Toc17235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_Toc2091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六、 一般公共预算财政拨款基本支出决算情况说明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_Toc2091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_Toc7436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七、 “三公”经费财政拨款支出决算情况说明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_Toc7436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_Toc10906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（一）“三公”经费财政拨款支出决算总体情况说明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_Toc10906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_Toc31250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（二）“三公”经费财政拨款支出决算具体情况说明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_Toc31250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11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_Toc19764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八、 政府性基金预算支出决算情况说明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_Toc19764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_Toc20831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九、 国有资本经营预算支出决算情况说明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_Toc20831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_Toc17823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十、 其他重要事项的情况说明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_Toc17823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_Toc14923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（一）机关运行经费支出情况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_Toc14923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_Toc11505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0"/>
              <w:sz w:val="30"/>
              <w:szCs w:val="30"/>
            </w:rPr>
            <w:t>（二）政府采购支出情况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_Toc11505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_Toc21551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0"/>
              <w:szCs w:val="30"/>
            </w:rPr>
            <w:t>（三） 国有资产占有使用情况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_Toc21551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_Toc19795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0"/>
              <w:szCs w:val="30"/>
              <w:lang w:eastAsia="zh-CN"/>
            </w:rPr>
            <w:t>（四）</w:t>
          </w:r>
          <w:r>
            <w:rPr>
              <w:rFonts w:hint="eastAsia" w:ascii="宋体" w:hAnsi="宋体" w:eastAsia="宋体" w:cs="宋体"/>
              <w:bCs/>
              <w:sz w:val="30"/>
              <w:szCs w:val="30"/>
            </w:rPr>
            <w:t>预算绩效管理情况。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_Toc19795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13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_Toc4091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t>第三部分  名词解释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_Toc4091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15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_Toc3512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  <w:lang w:eastAsia="zh-CN"/>
            </w:rPr>
            <w:t>第四部分 附件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_Toc3512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6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ind w:left="0" w:leftChars="0" w:firstLine="0" w:firstLineChars="0"/>
            <w:textAlignment w:val="baseline"/>
            <w:rPr>
              <w:rFonts w:hint="default" w:ascii="宋体" w:hAnsi="宋体" w:eastAsia="宋体" w:cs="宋体"/>
              <w:sz w:val="30"/>
              <w:szCs w:val="30"/>
              <w:lang w:val="en-US" w:eastAsia="zh-CN"/>
            </w:rPr>
          </w:pPr>
          <w:r>
            <w:rPr>
              <w:rFonts w:hint="eastAsia" w:ascii="宋体" w:hAnsi="宋体" w:eastAsia="宋体" w:cs="宋体"/>
              <w:sz w:val="30"/>
              <w:szCs w:val="30"/>
              <w:lang w:val="en-US" w:eastAsia="zh-CN"/>
            </w:rPr>
            <w:t xml:space="preserve">    附件 1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_Toc3512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16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</w:p>
        <w:p>
          <w:pPr>
            <w:pStyle w:val="10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_Toc4678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  <w:lang w:eastAsia="zh-CN"/>
            </w:rPr>
            <w:t>第五部分：附表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_Toc4678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_Toc29092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一、收入支出决算总表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_Toc29092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_Toc13700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二、收入决算表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_Toc13700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_Toc23274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三、支出决算表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_Toc23274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_Toc4824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四、财政拨款收入支出决算总表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_Toc4824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_Toc16669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五、财政拨款支出决算明细表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_Toc16669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_Toc2261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六、一般公共预算财政拨款支出决算表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_Toc2261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_Toc31749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七、一般公共预算财政拨款支出决算明细表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_Toc31749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_Toc15771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八、一般公共预算财政拨款基本支出决算表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_Toc15771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_Toc30937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九、一般公共预算财政拨款项目支出决算表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_Toc30937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_Toc4817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十、一般公共预算财政拨款“三公”经费支出决算表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_Toc4817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_Toc16064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十一、政府性基金预算财政拨款收入支出决算表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_Toc16064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_Toc30363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十二、政府性基金预算财政拨款“三公”经费支出决算表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_Toc30363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_Toc24712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十三、国有资本经营预算财政拨款收入支出决算表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_Toc24712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pStyle w:val="11"/>
            <w:keepNext w:val="0"/>
            <w:keepLines w:val="0"/>
            <w:pageBreakBefore w:val="0"/>
            <w:widowControl/>
            <w:tabs>
              <w:tab w:val="right" w:leader="dot" w:pos="884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30"/>
              <w:szCs w:val="30"/>
            </w:rPr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instrText xml:space="preserve"> HYPERLINK \l _Toc24825 </w:instrText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十</w:t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  <w:lang w:eastAsia="zh-CN"/>
            </w:rPr>
            <w:t>四</w:t>
          </w:r>
          <w:r>
            <w:rPr>
              <w:rFonts w:hint="eastAsia" w:ascii="宋体" w:hAnsi="宋体" w:eastAsia="宋体" w:cs="宋体"/>
              <w:bCs w:val="0"/>
              <w:sz w:val="30"/>
              <w:szCs w:val="30"/>
            </w:rPr>
            <w:t>、国有资本经营预算支出决算表</w:t>
          </w:r>
          <w:r>
            <w:rPr>
              <w:rFonts w:hint="eastAsia" w:ascii="宋体" w:hAnsi="宋体" w:eastAsia="宋体" w:cs="宋体"/>
              <w:sz w:val="30"/>
              <w:szCs w:val="30"/>
            </w:rPr>
            <w:tab/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sz w:val="30"/>
              <w:szCs w:val="30"/>
            </w:rPr>
            <w:instrText xml:space="preserve"> PAGEREF _Toc24825 \h </w:instrTex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sz w:val="30"/>
              <w:szCs w:val="30"/>
            </w:rPr>
            <w:t>20</w:t>
          </w:r>
          <w:r>
            <w:rPr>
              <w:rFonts w:hint="eastAsia" w:ascii="宋体" w:hAnsi="宋体" w:eastAsia="宋体" w:cs="宋体"/>
              <w:sz w:val="30"/>
              <w:szCs w:val="30"/>
            </w:rPr>
            <w:fldChar w:fldCharType="end"/>
          </w: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</w:p>
        <w:p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93" w:line="360" w:lineRule="auto"/>
            <w:textAlignment w:val="baseline"/>
          </w:pPr>
          <w:r>
            <w:rPr>
              <w:rFonts w:hint="eastAsia" w:ascii="宋体" w:hAnsi="宋体" w:eastAsia="宋体" w:cs="宋体"/>
              <w:spacing w:val="0"/>
              <w:sz w:val="30"/>
              <w:szCs w:val="30"/>
            </w:rPr>
            <w:fldChar w:fldCharType="end"/>
          </w:r>
          <w:bookmarkStart w:id="0" w:name="_Toc29346"/>
        </w:p>
      </w:sdtContent>
    </w:sdt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第一部分  单位概况</w:t>
      </w:r>
      <w:bookmarkEnd w:id="0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" w:name="_Toc26893"/>
      <w:r>
        <w:rPr>
          <w:rFonts w:hint="default" w:ascii="Times New Roman" w:hAnsi="Times New Roman" w:cs="Times New Roman"/>
          <w:spacing w:val="0"/>
        </w:rPr>
        <w:t>一、 职能简介</w:t>
      </w:r>
      <w:bookmarkEnd w:id="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sz w:val="30"/>
        </w:rPr>
      </w:pPr>
      <w:r>
        <w:rPr>
          <w:rFonts w:hint="default" w:ascii="Times New Roman" w:hAnsi="Times New Roman" w:eastAsia="新宋体" w:cs="Times New Roman"/>
          <w:spacing w:val="0"/>
          <w:sz w:val="30"/>
        </w:rPr>
        <w:t>１.研究拟定全校教育发展战略</w:t>
      </w:r>
      <w:r>
        <w:rPr>
          <w:rFonts w:hint="default" w:ascii="Times New Roman" w:hAnsi="Times New Roman" w:eastAsia="新宋体" w:cs="Times New Roman"/>
          <w:spacing w:val="0"/>
          <w:sz w:val="3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  <w:sz w:val="30"/>
        </w:rPr>
        <w:t>贯彻执行党和国家的教育方针、政策、法规。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sz w:val="30"/>
        </w:rPr>
      </w:pPr>
      <w:r>
        <w:rPr>
          <w:rFonts w:hint="default" w:ascii="Times New Roman" w:hAnsi="Times New Roman" w:eastAsia="新宋体" w:cs="Times New Roman"/>
          <w:spacing w:val="0"/>
          <w:sz w:val="30"/>
        </w:rPr>
        <w:t>2.研究拟定学校发展规划和年度计划</w:t>
      </w:r>
      <w:r>
        <w:rPr>
          <w:rFonts w:hint="default" w:ascii="Times New Roman" w:hAnsi="Times New Roman" w:eastAsia="新宋体" w:cs="Times New Roman"/>
          <w:spacing w:val="0"/>
          <w:sz w:val="3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  <w:sz w:val="30"/>
        </w:rPr>
        <w:t>组织实施教育体制和办学体制改革。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sz w:val="30"/>
        </w:rPr>
      </w:pPr>
      <w:r>
        <w:rPr>
          <w:rFonts w:hint="default" w:ascii="Times New Roman" w:hAnsi="Times New Roman" w:eastAsia="新宋体" w:cs="Times New Roman"/>
          <w:spacing w:val="0"/>
          <w:sz w:val="30"/>
        </w:rPr>
        <w:t>3.管理和指导学校基础教育工作</w:t>
      </w:r>
      <w:r>
        <w:rPr>
          <w:rFonts w:hint="default" w:ascii="Times New Roman" w:hAnsi="Times New Roman" w:eastAsia="新宋体" w:cs="Times New Roman"/>
          <w:spacing w:val="0"/>
          <w:sz w:val="3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  <w:sz w:val="30"/>
        </w:rPr>
        <w:t>确保教育工作成果。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sz w:val="30"/>
        </w:rPr>
      </w:pPr>
      <w:r>
        <w:rPr>
          <w:rFonts w:hint="default" w:ascii="Times New Roman" w:hAnsi="Times New Roman" w:eastAsia="新宋体" w:cs="Times New Roman"/>
          <w:spacing w:val="0"/>
          <w:sz w:val="30"/>
        </w:rPr>
        <w:t>4. 负责和指导学校教职工的思想政治工作</w:t>
      </w:r>
      <w:r>
        <w:rPr>
          <w:rFonts w:hint="default" w:ascii="Times New Roman" w:hAnsi="Times New Roman" w:eastAsia="新宋体" w:cs="Times New Roman"/>
          <w:spacing w:val="0"/>
          <w:sz w:val="3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  <w:sz w:val="30"/>
        </w:rPr>
        <w:t>规划学校品德教育、 体育卫生教育、艺术教育和国防教育工作。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/>
        </w:rPr>
      </w:pPr>
      <w:bookmarkStart w:id="2" w:name="_Toc2098"/>
      <w:r>
        <w:rPr>
          <w:rFonts w:hint="default"/>
        </w:rPr>
        <w:t>二、 2020 年重点工作完成情况</w:t>
      </w:r>
      <w:bookmarkEnd w:id="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</w:rPr>
        <w:t>１.落实主体责任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0"/>
        </w:rPr>
        <w:t>护航教育教学。</w:t>
      </w:r>
      <w:r>
        <w:rPr>
          <w:rFonts w:hint="default" w:ascii="Times New Roman" w:hAnsi="Times New Roman" w:cs="Times New Roman" w:eastAsiaTheme="minorEastAsia"/>
          <w:spacing w:val="0"/>
        </w:rPr>
        <w:t>学校党委高度重视党建工作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做到党建工作与业务工作同谋划、同部署、同落实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以党建引领、推进教育教学工作健康发展。强化“一岗双责”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党委书记符纯兵认真履行好党建第一责任人职责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督促班子成员履行好“一岗双责”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抓好分管年级和部门的党建工作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确保党支部始终在学校各项工作中发挥好战斗堡垒作用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确保党员在师生中发挥好模范引领作用。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</w:rPr>
        <w:t>２.凝心聚力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0"/>
        </w:rPr>
        <w:t>成功举办百年成果展。</w:t>
      </w:r>
      <w:r>
        <w:rPr>
          <w:rFonts w:hint="default" w:ascii="Times New Roman" w:hAnsi="Times New Roman" w:cs="Times New Roman" w:eastAsiaTheme="minorEastAsia"/>
          <w:spacing w:val="0"/>
        </w:rPr>
        <w:t>薪火百年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玉润千秋。10月18日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开江中学成功开展了百年办学成果汇报会。部分高校代表、兄弟学校、特邀嘉宾、校友、乡友及县级各部门、学校参加了本次汇报会。通过校庆活动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搭建了校友和乡友互相交流思想政治教育心得体会、教育教学方法等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进一步激发了师生感恩奋进、砥砺前行热情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进一步增强了师生社会主义核心价值观的素养和爱国爱校情怀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不断提高政治思想觉悟。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default" w:ascii="Times New Roman" w:hAnsi="Times New Roman" w:cs="Times New Roman" w:eastAsiaTheme="minorEastAsia"/>
          <w:spacing w:val="0"/>
        </w:rPr>
      </w:pPr>
      <w:r>
        <w:rPr>
          <w:rFonts w:hint="default" w:ascii="Times New Roman" w:hAnsi="Times New Roman" w:cs="Times New Roman" w:eastAsiaTheme="minorEastAsia"/>
          <w:b/>
          <w:bCs/>
          <w:spacing w:val="0"/>
        </w:rPr>
        <w:t>３.参与活动历练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0"/>
        </w:rPr>
        <w:t>效果提升显著。</w:t>
      </w:r>
      <w:r>
        <w:rPr>
          <w:rFonts w:hint="default" w:ascii="Times New Roman" w:hAnsi="Times New Roman" w:cs="Times New Roman" w:eastAsiaTheme="minorEastAsia"/>
          <w:spacing w:val="0"/>
        </w:rPr>
        <w:t>以全县课堂教学技能大赛、县级名优教师评定、名师工作室建设以及常态化支教等工作为契机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开展与名优教师结对、全员赛课、集体备课、推门听课、教育科研等活动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在活动中历练、在竞争中成长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引领教师专业发展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促进教师专业水平整体提升。本年度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我校参加达州市教学大比武及点赛课成绩喜人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一等奖5人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优质课一节。技装科技方面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获市级以上表彰30余人次。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default" w:ascii="Times New Roman" w:hAnsi="Times New Roman" w:cs="Times New Roman" w:eastAsiaTheme="minorEastAsia"/>
          <w:spacing w:val="0"/>
        </w:rPr>
        <w:sectPr>
          <w:footerReference r:id="rId3" w:type="default"/>
          <w:pgSz w:w="11906" w:h="16839"/>
          <w:pgMar w:top="2098" w:right="1474" w:bottom="1984" w:left="1587" w:header="0" w:footer="1344" w:gutter="0"/>
          <w:pgNumType w:fmt="decimal" w:start="1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cs="Times New Roman" w:eastAsiaTheme="minorEastAsia"/>
          <w:b/>
          <w:bCs/>
          <w:spacing w:val="0"/>
        </w:rPr>
        <w:t>４.践行以考助教</w:t>
      </w:r>
      <w:r>
        <w:rPr>
          <w:rFonts w:hint="default" w:ascii="Times New Roman" w:hAnsi="Times New Roman" w:cs="Times New Roman" w:eastAsiaTheme="minorEastAsia"/>
          <w:b/>
          <w:bCs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b/>
          <w:bCs/>
          <w:spacing w:val="0"/>
        </w:rPr>
        <w:t>助力高效备考。</w:t>
      </w:r>
      <w:r>
        <w:rPr>
          <w:rFonts w:hint="default" w:ascii="Times New Roman" w:hAnsi="Times New Roman" w:cs="Times New Roman" w:eastAsiaTheme="minorEastAsia"/>
          <w:spacing w:val="0"/>
        </w:rPr>
        <w:t>学校坚持月考或周考制度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考试工作结束用极课云及时批改和讲评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评讲时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不仅要指出学生错误的结果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还要分析学生犯错的原因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启迪学生思维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教会学生做题方法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提高学生做题能力。积极组织教师在“高考一轮复习研讨”、“新高考信息解析及学科复习策略全员培训”等活动中上研讨课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接受来自全县高中各学科的教研员、名师工作室成员、学科教师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以及成都、重庆等地教育专家的亲临指导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以自我研究、名家引领的形式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开展高效课堂研究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优化复习备考策略。为教师搭建成长平台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促进专业成长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科学、高效备战全国新课标高考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不断提升教育教学质量。在全校师生的共同努力下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今年高考成绩再上新台阶。一本人数363人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本科上线1011人。申报四川省一级优质高中已于12月通过了达州市初查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现在正在积极向省教厅申报验收。高2018级达州一诊考试效果非常理想。我校参加达州市教学大比武及点赛课成绩喜人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一等奖5人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优质课一节。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88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3" w:name="_Toc12550"/>
      <w:r>
        <w:rPr>
          <w:rFonts w:hint="default" w:ascii="Times New Roman" w:hAnsi="Times New Roman" w:cs="Times New Roman"/>
          <w:spacing w:val="0"/>
        </w:rPr>
        <w:t>第二部分  2020 年度部门决算情况说明</w:t>
      </w:r>
      <w:bookmarkEnd w:id="3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cs="Times New Roman"/>
          <w:spacing w:val="0"/>
        </w:rPr>
      </w:pPr>
      <w:bookmarkStart w:id="4" w:name="_Toc15217"/>
      <w:r>
        <w:rPr>
          <w:rFonts w:hint="default" w:ascii="Times New Roman" w:hAnsi="Times New Roman" w:cs="Times New Roman"/>
          <w:spacing w:val="0"/>
        </w:rPr>
        <w:t>一、 收入支出决算总体情况说明</w:t>
      </w:r>
      <w:bookmarkEnd w:id="4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</w:pP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2020 年度收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支总计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val="en-US" w:eastAsia="zh-CN"/>
        </w:rPr>
        <w:t>4369.99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与 2019 年相比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 xml:space="preserve"> 收 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、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支总计各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减少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val="en-US" w:eastAsia="zh-CN"/>
        </w:rPr>
        <w:t>455.32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 xml:space="preserve"> 万元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增加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val="en-US" w:eastAsia="zh-CN"/>
        </w:rPr>
        <w:t>9.44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%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。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</w:rPr>
        <w:t>主要变动原因是财政拨款经费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eastAsia="zh-CN"/>
        </w:rPr>
        <w:t>减少。</w:t>
      </w:r>
    </w:p>
    <w:p>
      <w:pPr>
        <w:spacing w:before="144" w:line="4395" w:lineRule="exact"/>
        <w:textAlignment w:val="center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drawing>
          <wp:inline distT="0" distB="0" distL="114300" distR="114300">
            <wp:extent cx="5710555" cy="2854960"/>
            <wp:effectExtent l="4445" t="4445" r="19050" b="17145"/>
            <wp:docPr id="8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5" w:name="_Toc1636"/>
      <w:r>
        <w:rPr>
          <w:rFonts w:hint="default" w:ascii="Times New Roman" w:hAnsi="Times New Roman" w:cs="Times New Roman"/>
          <w:spacing w:val="0"/>
        </w:rPr>
        <w:t>二、 收入决算情况说明</w:t>
      </w:r>
      <w:bookmarkEnd w:id="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 w:eastAsiaTheme="minorEastAsia"/>
          <w:spacing w:val="0"/>
          <w:lang w:eastAsia="zh-CN"/>
        </w:rPr>
      </w:pPr>
      <w:r>
        <w:rPr>
          <w:rFonts w:hint="default" w:ascii="Times New Roman" w:hAnsi="Times New Roman" w:cs="Times New Roman" w:eastAsiaTheme="minorEastAsia"/>
          <w:spacing w:val="0"/>
        </w:rPr>
        <w:t xml:space="preserve">2020 年本年收入合计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4278.99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与上年相比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减少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455.32</w:t>
      </w:r>
      <w:r>
        <w:rPr>
          <w:rFonts w:hint="default" w:ascii="Times New Roman" w:hAnsi="Times New Roman" w:cs="Times New Roman" w:eastAsiaTheme="minorEastAsia"/>
          <w:spacing w:val="0"/>
        </w:rPr>
        <w:t xml:space="preserve"> 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 主要变动原因财政拨款经费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减少。</w:t>
      </w:r>
      <w:r>
        <w:rPr>
          <w:rFonts w:hint="default" w:ascii="Times New Roman" w:hAnsi="Times New Roman" w:cs="Times New Roman" w:eastAsiaTheme="minorEastAsia"/>
          <w:spacing w:val="0"/>
        </w:rPr>
        <w:t>其中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spacing w:val="0"/>
        </w:rPr>
        <w:t>一般公共预算财 政拨款收入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3887.91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占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88.73</w:t>
      </w:r>
      <w:r>
        <w:rPr>
          <w:rFonts w:hint="default" w:ascii="Times New Roman" w:hAnsi="Times New Roman" w:cs="Times New Roman" w:eastAsiaTheme="minorEastAsia"/>
          <w:spacing w:val="0"/>
        </w:rPr>
        <w:t>%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pacing w:val="0"/>
        </w:rPr>
        <w:t>事业收入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482.08</w:t>
      </w:r>
      <w:r>
        <w:rPr>
          <w:rFonts w:hint="default" w:ascii="Times New Roman" w:hAnsi="Times New Roman" w:cs="Times New Roman" w:eastAsiaTheme="minorEastAsia"/>
          <w:spacing w:val="0"/>
        </w:rPr>
        <w:t xml:space="preserve"> 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占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12.27</w:t>
      </w:r>
      <w:r>
        <w:rPr>
          <w:rFonts w:hint="default" w:ascii="Times New Roman" w:hAnsi="Times New Roman" w:cs="Times New Roman" w:eastAsiaTheme="minorEastAsia"/>
          <w:spacing w:val="0"/>
        </w:rPr>
        <w:t>%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 w:eastAsiaTheme="minorEastAsia"/>
          <w:spacing w:val="0"/>
        </w:rPr>
        <w:sectPr>
          <w:footerReference r:id="rId4" w:type="default"/>
          <w:pgSz w:w="11906" w:h="16839"/>
          <w:pgMar w:top="2098" w:right="1474" w:bottom="1984" w:left="1587" w:header="0" w:footer="1342" w:gutter="0"/>
          <w:pgNumType w:fmt="decimal"/>
          <w:cols w:space="720" w:num="1"/>
          <w:rtlGutter w:val="0"/>
          <w:docGrid w:linePitch="0" w:charSpace="0"/>
        </w:sectPr>
      </w:pPr>
    </w:p>
    <w:p>
      <w:pPr>
        <w:spacing w:line="334" w:lineRule="auto"/>
        <w:rPr>
          <w:rFonts w:hint="default" w:ascii="Times New Roman" w:hAnsi="Times New Roman" w:cs="Times New Roman"/>
          <w:spacing w:val="0"/>
        </w:rPr>
      </w:pPr>
    </w:p>
    <w:p>
      <w:pPr>
        <w:spacing w:line="275" w:lineRule="auto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95885</wp:posOffset>
            </wp:positionV>
            <wp:extent cx="5614035" cy="2720340"/>
            <wp:effectExtent l="4445" t="4445" r="20320" b="18415"/>
            <wp:wrapTight wrapText="bothSides">
              <wp:wrapPolygon>
                <wp:start x="-17" y="-35"/>
                <wp:lineTo x="-17" y="21444"/>
                <wp:lineTo x="21532" y="21444"/>
                <wp:lineTo x="21532" y="-35"/>
                <wp:lineTo x="-17" y="-35"/>
              </wp:wrapPolygon>
            </wp:wrapTight>
            <wp:docPr id="9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cs="Times New Roman"/>
          <w:spacing w:val="0"/>
        </w:rPr>
      </w:pPr>
      <w:bookmarkStart w:id="6" w:name="_Toc15394"/>
      <w:r>
        <w:rPr>
          <w:rFonts w:hint="default" w:ascii="Times New Roman" w:hAnsi="Times New Roman" w:cs="Times New Roman"/>
          <w:spacing w:val="0"/>
        </w:rPr>
        <w:t>三、 支出决算情况说明</w:t>
      </w:r>
      <w:bookmarkEnd w:id="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 w:eastAsiaTheme="minorEastAsia"/>
          <w:spacing w:val="0"/>
          <w:lang w:eastAsia="zh-CN"/>
        </w:rPr>
      </w:pPr>
      <w:r>
        <w:rPr>
          <w:rFonts w:hint="default" w:ascii="Times New Roman" w:hAnsi="Times New Roman" w:cs="Times New Roman"/>
          <w:spacing w:val="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1329055</wp:posOffset>
            </wp:positionV>
            <wp:extent cx="5801360" cy="2607945"/>
            <wp:effectExtent l="4445" t="4445" r="23495" b="54610"/>
            <wp:wrapSquare wrapText="bothSides"/>
            <wp:docPr id="10" name="图表 4" descr="7b0a202020202263686172745265734964223a20223230343732313032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pacing w:val="0"/>
        </w:rPr>
        <w:t xml:space="preserve">2020 年本年支出合计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4369.99</w:t>
      </w:r>
      <w:r>
        <w:rPr>
          <w:rFonts w:hint="default" w:ascii="Times New Roman" w:hAnsi="Times New Roman" w:cs="Times New Roman" w:eastAsiaTheme="minorEastAsia"/>
          <w:spacing w:val="0"/>
        </w:rPr>
        <w:t xml:space="preserve"> 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与上年相比减455.32万元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>主要变动原因是财政拨款经费支出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减少。</w:t>
      </w:r>
      <w:r>
        <w:rPr>
          <w:rFonts w:hint="default" w:ascii="Times New Roman" w:hAnsi="Times New Roman" w:cs="Times New Roman" w:eastAsiaTheme="minorEastAsia"/>
          <w:spacing w:val="0"/>
        </w:rPr>
        <w:t>其中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spacing w:val="0"/>
        </w:rPr>
        <w:t>基本支出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4239.69</w:t>
      </w:r>
      <w:r>
        <w:rPr>
          <w:rFonts w:hint="default" w:ascii="Times New Roman" w:hAnsi="Times New Roman" w:cs="Times New Roman" w:eastAsiaTheme="minorEastAsia"/>
          <w:spacing w:val="0"/>
        </w:rPr>
        <w:t>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占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97.01</w:t>
      </w:r>
      <w:r>
        <w:rPr>
          <w:rFonts w:hint="default" w:ascii="Times New Roman" w:hAnsi="Times New Roman" w:cs="Times New Roman" w:eastAsiaTheme="minorEastAsia"/>
          <w:spacing w:val="0"/>
        </w:rPr>
        <w:t xml:space="preserve">%； 项目支出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130.30</w:t>
      </w:r>
      <w:r>
        <w:rPr>
          <w:rFonts w:hint="default" w:ascii="Times New Roman" w:hAnsi="Times New Roman" w:cs="Times New Roman" w:eastAsiaTheme="minorEastAsia"/>
          <w:spacing w:val="0"/>
        </w:rPr>
        <w:t xml:space="preserve"> 万元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pacing w:val="0"/>
        </w:rPr>
        <w:t xml:space="preserve">占 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2.99</w:t>
      </w:r>
      <w:r>
        <w:rPr>
          <w:rFonts w:hint="default" w:ascii="Times New Roman" w:hAnsi="Times New Roman" w:cs="Times New Roman" w:eastAsiaTheme="minorEastAsia"/>
          <w:spacing w:val="0"/>
        </w:rPr>
        <w:t>%</w:t>
      </w:r>
      <w:r>
        <w:rPr>
          <w:rFonts w:hint="default" w:ascii="Times New Roman" w:hAnsi="Times New Roman" w:cs="Times New Roman" w:eastAsiaTheme="minorEastAsia"/>
          <w:spacing w:val="0"/>
          <w:lang w:eastAsia="zh-CN"/>
        </w:rPr>
        <w:t>。</w:t>
      </w:r>
    </w:p>
    <w:p>
      <w:pPr>
        <w:spacing w:before="40" w:line="5144" w:lineRule="exact"/>
        <w:textAlignment w:val="center"/>
        <w:rPr>
          <w:rFonts w:hint="default" w:ascii="Times New Roman" w:hAnsi="Times New Roman" w:cs="Times New Roman"/>
          <w:spacing w:val="0"/>
        </w:rPr>
        <w:sectPr>
          <w:footerReference r:id="rId5" w:type="default"/>
          <w:pgSz w:w="11906" w:h="16839"/>
          <w:pgMar w:top="2098" w:right="1474" w:bottom="1984" w:left="1587" w:header="0" w:footer="1342" w:gutter="0"/>
          <w:pgNumType w:fmt="decimal"/>
          <w:cols w:space="720" w:num="1"/>
          <w:rtlGutter w:val="0"/>
          <w:docGrid w:linePitch="0" w:charSpace="0"/>
        </w:sectPr>
      </w:pP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cs="Times New Roman"/>
          <w:spacing w:val="0"/>
        </w:rPr>
      </w:pPr>
      <w:bookmarkStart w:id="7" w:name="_Toc6041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四、 财政拨款收入支出决算总体情况说明</w:t>
      </w:r>
      <w:bookmarkEnd w:id="7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2020</w:t>
      </w:r>
      <w:r>
        <w:rPr>
          <w:rFonts w:hint="default" w:ascii="Times New Roman" w:hAnsi="Times New Roman" w:eastAsia="新宋体" w:cs="Times New Roman"/>
          <w:spacing w:val="0"/>
        </w:rPr>
        <w:t xml:space="preserve">年财政拨款收、 支总计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3887.91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与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2019</w:t>
      </w:r>
      <w:r>
        <w:rPr>
          <w:rFonts w:hint="default" w:ascii="Times New Roman" w:hAnsi="Times New Roman" w:eastAsia="新宋体" w:cs="Times New Roman"/>
          <w:spacing w:val="0"/>
        </w:rPr>
        <w:t>年相比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 财政拨款收、 支总计各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减少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464.31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 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减少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10.60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主要变动原因是财政拨款经费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减少</w:t>
      </w:r>
      <w:r>
        <w:rPr>
          <w:rFonts w:hint="default" w:ascii="Times New Roman" w:hAnsi="Times New Roman" w:eastAsia="新宋体" w:cs="Times New Roman"/>
          <w:spacing w:val="0"/>
        </w:rPr>
        <w:t>。</w:t>
      </w:r>
    </w:p>
    <w:p>
      <w:pPr>
        <w:spacing w:before="118" w:line="4728" w:lineRule="exact"/>
        <w:textAlignment w:val="center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drawing>
          <wp:inline distT="0" distB="0" distL="114300" distR="114300">
            <wp:extent cx="5913755" cy="3049270"/>
            <wp:effectExtent l="7620" t="7620" r="22225" b="67310"/>
            <wp:docPr id="12" name="图表 5" descr="7b0a202020202263686172745265734964223a202234363235383339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8" w:name="_Toc3540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五、 一般公共预算财政拨款支出决算情况说明</w:t>
      </w:r>
      <w:bookmarkEnd w:id="8"/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9" w:name="_Toc21808"/>
      <w:r>
        <w:rPr>
          <w:rFonts w:hint="default" w:ascii="Times New Roman" w:hAnsi="Times New Roman" w:cs="Times New Roman"/>
          <w:b w:val="0"/>
          <w:bCs/>
          <w:spacing w:val="0"/>
        </w:rPr>
        <w:t>（一）一般公共预算财政拨款支出决算总体情况</w:t>
      </w:r>
      <w:bookmarkEnd w:id="9"/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  <w:lang w:val="en-US" w:eastAsia="zh-CN"/>
        </w:rPr>
        <w:sectPr>
          <w:footerReference r:id="rId6" w:type="default"/>
          <w:pgSz w:w="11906" w:h="16839"/>
          <w:pgMar w:top="2098" w:right="1474" w:bottom="1984" w:left="1587" w:header="0" w:footer="1342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cs="Times New Roman"/>
          <w:spacing w:val="0"/>
        </w:rPr>
        <w:t xml:space="preserve">2020 年一般公共预算财政拨款支出 </w:t>
      </w:r>
      <w:r>
        <w:rPr>
          <w:rFonts w:hint="default" w:ascii="Times New Roman" w:hAnsi="Times New Roman" w:cs="Times New Roman"/>
          <w:spacing w:val="0"/>
          <w:lang w:val="en-US" w:eastAsia="zh-CN"/>
        </w:rPr>
        <w:t>3887.91</w:t>
      </w:r>
      <w:r>
        <w:rPr>
          <w:rFonts w:hint="default" w:ascii="Times New Roman" w:hAnsi="Times New Roman" w:cs="Times New Roman"/>
          <w:spacing w:val="0"/>
        </w:rPr>
        <w:t xml:space="preserve"> 万元</w:t>
      </w:r>
      <w:r>
        <w:rPr>
          <w:rFonts w:hint="default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 xml:space="preserve"> 占本年支 出合计的 </w:t>
      </w:r>
      <w:r>
        <w:rPr>
          <w:rFonts w:hint="default" w:ascii="Times New Roman" w:hAnsi="Times New Roman" w:cs="Times New Roman"/>
          <w:spacing w:val="0"/>
          <w:lang w:val="en-US" w:eastAsia="zh-CN"/>
        </w:rPr>
        <w:t>，91.54</w:t>
      </w:r>
      <w:r>
        <w:rPr>
          <w:rFonts w:hint="default" w:ascii="Times New Roman" w:hAnsi="Times New Roman" w:cs="Times New Roman"/>
          <w:spacing w:val="0"/>
        </w:rPr>
        <w:t>%</w:t>
      </w:r>
      <w:r>
        <w:rPr>
          <w:rFonts w:hint="default" w:ascii="Times New Roman" w:hAnsi="Times New Roman" w:cs="Times New Roman"/>
          <w:spacing w:val="0"/>
          <w:lang w:eastAsia="zh-CN"/>
        </w:rPr>
        <w:t>。</w:t>
      </w:r>
      <w:r>
        <w:rPr>
          <w:rFonts w:hint="default" w:ascii="Times New Roman" w:hAnsi="Times New Roman" w:cs="Times New Roman"/>
          <w:spacing w:val="0"/>
        </w:rPr>
        <w:t>与 2019 年相比</w:t>
      </w:r>
      <w:r>
        <w:rPr>
          <w:rFonts w:hint="default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 xml:space="preserve"> 一般公共预算财政拨款</w:t>
      </w:r>
      <w:r>
        <w:rPr>
          <w:rFonts w:hint="default" w:ascii="Times New Roman" w:hAnsi="Times New Roman" w:cs="Times New Roman"/>
          <w:spacing w:val="0"/>
          <w:lang w:eastAsia="zh-CN"/>
        </w:rPr>
        <w:t>减少</w:t>
      </w:r>
      <w:r>
        <w:rPr>
          <w:rFonts w:hint="default" w:ascii="Times New Roman" w:hAnsi="Times New Roman" w:cs="Times New Roman"/>
          <w:spacing w:val="0"/>
          <w:lang w:val="en-US" w:eastAsia="zh-CN"/>
        </w:rPr>
        <w:t>464.31</w:t>
      </w:r>
      <w:r>
        <w:rPr>
          <w:rFonts w:hint="default" w:ascii="Times New Roman" w:hAnsi="Times New Roman" w:cs="Times New Roman"/>
          <w:spacing w:val="0"/>
        </w:rPr>
        <w:t>万元</w:t>
      </w:r>
      <w:r>
        <w:rPr>
          <w:rFonts w:hint="default" w:ascii="Times New Roman" w:hAnsi="Times New Roman" w:cs="Times New Roman"/>
          <w:spacing w:val="0"/>
          <w:lang w:eastAsia="zh-CN"/>
        </w:rPr>
        <w:t>，减少</w:t>
      </w:r>
      <w:r>
        <w:rPr>
          <w:rFonts w:hint="default" w:ascii="Times New Roman" w:hAnsi="Times New Roman" w:cs="Times New Roman"/>
          <w:spacing w:val="0"/>
          <w:lang w:val="en-US" w:eastAsia="zh-CN"/>
        </w:rPr>
        <w:t>10.60%</w:t>
      </w:r>
      <w:r>
        <w:rPr>
          <w:rFonts w:hint="default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>主要变动原因是财政拨款经费</w:t>
      </w:r>
      <w:r>
        <w:rPr>
          <w:rFonts w:hint="default" w:ascii="Times New Roman" w:hAnsi="Times New Roman" w:cs="Times New Roman"/>
          <w:spacing w:val="0"/>
          <w:lang w:eastAsia="zh-CN"/>
        </w:rPr>
        <w:t>减少。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6985</wp:posOffset>
            </wp:positionV>
            <wp:extent cx="5582920" cy="2930525"/>
            <wp:effectExtent l="4445" t="4445" r="13335" b="17780"/>
            <wp:wrapThrough wrapText="bothSides">
              <wp:wrapPolygon>
                <wp:start x="-17" y="-33"/>
                <wp:lineTo x="-17" y="21450"/>
                <wp:lineTo x="21578" y="21450"/>
                <wp:lineTo x="21578" y="-33"/>
                <wp:lineTo x="-17" y="-33"/>
              </wp:wrapPolygon>
            </wp:wrapThrough>
            <wp:docPr id="14" name="图表 5" descr="7b0a202020202263686172745265734964223a202234363235383339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>
      <w:pPr>
        <w:pStyle w:val="4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10" w:name="_Toc5822"/>
      <w:r>
        <w:rPr>
          <w:rFonts w:hint="default" w:ascii="Times New Roman" w:hAnsi="Times New Roman" w:cs="Times New Roman"/>
          <w:b w:val="0"/>
          <w:bCs/>
          <w:spacing w:val="0"/>
        </w:rPr>
        <w:t>（二）一般公共预算财政拨款支出决算结构情况</w:t>
      </w:r>
      <w:bookmarkEnd w:id="1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val="en-US" w:eastAsia="zh-CN"/>
        </w:rPr>
        <w:sectPr>
          <w:footerReference r:id="rId7" w:type="default"/>
          <w:pgSz w:w="11906" w:h="16839"/>
          <w:pgMar w:top="2098" w:right="1474" w:bottom="1984" w:left="1587" w:header="0" w:footer="1342" w:gutter="0"/>
          <w:pgNumType w:fmt="decimal"/>
          <w:cols w:space="720" w:num="1"/>
          <w:rtlGutter w:val="0"/>
          <w:docGrid w:linePitch="0" w:charSpace="0"/>
        </w:sectPr>
      </w:pPr>
      <w:r>
        <w:rPr>
          <w:rFonts w:hint="default" w:ascii="Times New Roman" w:hAnsi="Times New Roman" w:eastAsia="新宋体" w:cs="Times New Roman"/>
          <w:spacing w:val="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1831975</wp:posOffset>
            </wp:positionV>
            <wp:extent cx="5581015" cy="2421255"/>
            <wp:effectExtent l="4445" t="4445" r="15240" b="12700"/>
            <wp:wrapTight wrapText="bothSides">
              <wp:wrapPolygon>
                <wp:start x="-17" y="-40"/>
                <wp:lineTo x="-17" y="21543"/>
                <wp:lineTo x="21512" y="21543"/>
                <wp:lineTo x="21512" y="-40"/>
                <wp:lineTo x="-17" y="-40"/>
              </wp:wrapPolygon>
            </wp:wrapTight>
            <wp:docPr id="1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2020</w:t>
      </w:r>
      <w:r>
        <w:rPr>
          <w:rFonts w:hint="default" w:ascii="Times New Roman" w:hAnsi="Times New Roman" w:eastAsia="新宋体" w:cs="Times New Roman"/>
          <w:spacing w:val="0"/>
        </w:rPr>
        <w:t>年一般公共预算财政拨款支出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3887.91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主要用于以下方面:教育支出（类） 支出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3109.36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占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80.0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；</w:t>
      </w:r>
      <w:r>
        <w:rPr>
          <w:rFonts w:hint="default" w:ascii="Times New Roman" w:hAnsi="Times New Roman" w:eastAsia="新宋体" w:cs="Times New Roman"/>
          <w:spacing w:val="0"/>
        </w:rPr>
        <w:t>社会保障和就业（类）支出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361.79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占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9.0</w:t>
      </w:r>
      <w:r>
        <w:rPr>
          <w:rFonts w:hint="default" w:ascii="Times New Roman" w:hAnsi="Times New Roman" w:eastAsia="新宋体" w:cs="Times New Roman"/>
          <w:spacing w:val="0"/>
        </w:rPr>
        <w:t xml:space="preserve">%； 卫生健康（类）支出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154.82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占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4.0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，其他支出（类）0.5万元。住房保障（类）支出261.44万元，占7%。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11" w:name="_Toc17235"/>
      <w:r>
        <w:rPr>
          <w:rFonts w:hint="default" w:ascii="Times New Roman" w:hAnsi="Times New Roman" w:cs="Times New Roman"/>
          <w:b w:val="0"/>
          <w:bCs/>
          <w:spacing w:val="0"/>
        </w:rPr>
        <w:t>（三）一般公共预算财政拨款支出决算具体情况</w:t>
      </w:r>
      <w:bookmarkEnd w:id="1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1.2020</w:t>
      </w:r>
      <w:r>
        <w:rPr>
          <w:rFonts w:hint="default" w:ascii="Times New Roman" w:hAnsi="Times New Roman" w:eastAsia="新宋体" w:cs="Times New Roman"/>
          <w:spacing w:val="0"/>
        </w:rPr>
        <w:t>年一般公共预算支出决算数为4369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.99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完成预算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其中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>2.教育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（类）</w:t>
      </w:r>
      <w:r>
        <w:rPr>
          <w:rFonts w:hint="default" w:ascii="Times New Roman" w:hAnsi="Times New Roman" w:eastAsia="新宋体" w:cs="Times New Roman"/>
          <w:spacing w:val="0"/>
        </w:rPr>
        <w:t>普通教育（款）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高中</w:t>
      </w:r>
      <w:r>
        <w:rPr>
          <w:rFonts w:hint="default" w:ascii="Times New Roman" w:hAnsi="Times New Roman" w:eastAsia="新宋体" w:cs="Times New Roman"/>
          <w:spacing w:val="0"/>
        </w:rPr>
        <w:t>中教育（项）:支出决算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3591.45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完成预算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eastAsia" w:ascii="Times New Roman" w:hAnsi="Times New Roman" w:eastAsia="新宋体" w:cs="Times New Roman"/>
          <w:spacing w:val="0"/>
          <w:lang w:val="en-US"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与预算数持平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eastAsia="新宋体" w:cs="Times New Roman"/>
          <w:spacing w:val="0"/>
        </w:rPr>
        <w:t>.教育（类） 其他教育支出（款） 其他教育支出（项）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 xml:space="preserve">支出 决算为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0.50</w:t>
      </w:r>
      <w:r>
        <w:rPr>
          <w:rFonts w:hint="default" w:ascii="Times New Roman" w:hAnsi="Times New Roman" w:eastAsia="新宋体" w:cs="Times New Roman"/>
          <w:spacing w:val="0"/>
        </w:rPr>
        <w:t xml:space="preserve">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完成预算 100.00%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与预算数持平。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 xml:space="preserve">7.社会保障和就业（类） 行政事业单位养老（款） 机关事业 单位基本养老保险缴费支出（项） :支出决算为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361.79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完成预算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与预算数持平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8.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住房保障支出</w:t>
      </w:r>
      <w:r>
        <w:rPr>
          <w:rFonts w:hint="default" w:ascii="Times New Roman" w:hAnsi="Times New Roman" w:eastAsia="新宋体" w:cs="Times New Roman"/>
          <w:spacing w:val="0"/>
        </w:rPr>
        <w:t>（类）行政事业单位养老（款） 机关事业 单位基本养老保险缴费支出（项）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支出决算为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261.44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完成预算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,</w:t>
      </w:r>
      <w:r>
        <w:rPr>
          <w:rFonts w:hint="default" w:ascii="Times New Roman" w:hAnsi="Times New Roman" w:eastAsia="新宋体" w:cs="Times New Roman"/>
          <w:spacing w:val="0"/>
        </w:rPr>
        <w:t>与预算数持平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>9.卫生健康（类）公共卫生（款）突发公共卫生事件应急处 理（项）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支出决算为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154.82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完成预算100.00%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与预算数持平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eastAsia="Microsoft JhengHei" w:cs="Times New Roman"/>
          <w:spacing w:val="0"/>
          <w:szCs w:val="32"/>
        </w:rPr>
      </w:pPr>
      <w:bookmarkStart w:id="12" w:name="_Toc2091"/>
      <w:r>
        <w:rPr>
          <w:rFonts w:hint="default" w:ascii="Times New Roman" w:hAnsi="Times New Roman" w:cs="Times New Roman"/>
          <w:spacing w:val="0"/>
        </w:rPr>
        <w:t>六、 一般公共预算财政拨款基本支出决算情况说明</w:t>
      </w:r>
      <w:bookmarkEnd w:id="1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2020 年一般公共预算财政拨款基本支出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4369.99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与上 年相比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减少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455.31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主要变动原因是由于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财政拨款减少。</w:t>
      </w:r>
      <w:r>
        <w:rPr>
          <w:rFonts w:hint="default" w:ascii="Times New Roman" w:hAnsi="Times New Roman" w:eastAsia="新宋体" w:cs="Times New Roman"/>
          <w:spacing w:val="0"/>
        </w:rPr>
        <w:t>人员经费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4239.70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主要包括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基本工资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津贴补贴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绩效工资、 机关事业单位基本养老保险缴费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职业年金缴费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职工基本医疗保险缴费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其他社会保障缴费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医疗费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其他工资福 利支出、 住房公积金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其他对个人和家庭的补助支出等。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公用经费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859.12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,</w:t>
      </w:r>
      <w:r>
        <w:rPr>
          <w:rFonts w:hint="default" w:ascii="Times New Roman" w:hAnsi="Times New Roman" w:eastAsia="新宋体" w:cs="Times New Roman"/>
          <w:spacing w:val="0"/>
        </w:rPr>
        <w:t>主要包括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:</w:t>
      </w:r>
      <w:r>
        <w:rPr>
          <w:rFonts w:hint="default" w:ascii="Times New Roman" w:hAnsi="Times New Roman" w:eastAsia="新宋体" w:cs="Times New Roman"/>
          <w:spacing w:val="0"/>
        </w:rPr>
        <w:t>办公费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印刷费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咨询费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 xml:space="preserve"> 水费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电费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邮电费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物业管理费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差旅费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维修（护）费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租赁费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会议费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培训费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专用材料费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劳务费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委托业务费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工会经费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福利费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公务用车运行维护费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其他交通费用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其他商品和服务支出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专用设备购置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信息网络及软件购置更新等。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3" w:name="_Toc7436"/>
      <w:r>
        <w:rPr>
          <w:rFonts w:hint="default" w:ascii="Times New Roman" w:hAnsi="Times New Roman" w:cs="Times New Roman"/>
          <w:spacing w:val="0"/>
        </w:rPr>
        <w:t>七、 “三公”经费财政拨款支出决算情况说明</w:t>
      </w:r>
      <w:bookmarkEnd w:id="13"/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14" w:name="_Toc10906"/>
      <w:r>
        <w:rPr>
          <w:rFonts w:hint="default" w:ascii="Times New Roman" w:hAnsi="Times New Roman" w:cs="Times New Roman"/>
          <w:b w:val="0"/>
          <w:bCs/>
          <w:spacing w:val="0"/>
        </w:rPr>
        <w:t>（一）“三公”经费财政拨款支出决算总体情况说明</w:t>
      </w:r>
      <w:bookmarkEnd w:id="14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>2020 年“三公”经费财政拨款支出决算为 5.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93</w:t>
      </w:r>
      <w:r>
        <w:rPr>
          <w:rFonts w:hint="default" w:ascii="Times New Roman" w:hAnsi="Times New Roman" w:eastAsia="新宋体" w:cs="Times New Roman"/>
          <w:spacing w:val="0"/>
        </w:rPr>
        <w:t xml:space="preserve">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完成预算 100.00%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与预算数持平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15" w:name="_Toc31250"/>
      <w:r>
        <w:rPr>
          <w:rFonts w:hint="default" w:ascii="Times New Roman" w:hAnsi="Times New Roman" w:cs="Times New Roman"/>
          <w:b w:val="0"/>
          <w:bCs/>
          <w:spacing w:val="0"/>
        </w:rPr>
        <w:t>（二）“三公”经费财政拨款支出决算具体情况说明</w:t>
      </w:r>
      <w:bookmarkEnd w:id="1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2020</w:t>
      </w:r>
      <w:r>
        <w:rPr>
          <w:rFonts w:hint="default" w:ascii="Times New Roman" w:hAnsi="Times New Roman" w:eastAsia="新宋体" w:cs="Times New Roman"/>
          <w:spacing w:val="0"/>
        </w:rPr>
        <w:t>年“三公”经费财政拨款支出决算中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因公出国（境） 费支出决算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0</w:t>
      </w:r>
      <w:r>
        <w:rPr>
          <w:rFonts w:hint="default" w:ascii="Times New Roman" w:hAnsi="Times New Roman" w:eastAsia="新宋体" w:cs="Times New Roman"/>
          <w:spacing w:val="0"/>
        </w:rPr>
        <w:t>万元；公务用车购置及运行维护费支出决算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4.10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 占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pacing w:val="0"/>
        </w:rPr>
        <w:t>00.00%；占69.14%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公务接待费支出决算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1.83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30.86</w:t>
      </w:r>
      <w:r>
        <w:rPr>
          <w:rFonts w:hint="default" w:ascii="Times New Roman" w:hAnsi="Times New Roman" w:eastAsia="新宋体" w:cs="Times New Roman"/>
          <w:spacing w:val="0"/>
        </w:rPr>
        <w:t>%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；</w:t>
      </w:r>
      <w:r>
        <w:rPr>
          <w:rFonts w:hint="default" w:ascii="Times New Roman" w:hAnsi="Times New Roman" w:eastAsia="新宋体" w:cs="Times New Roman"/>
          <w:spacing w:val="0"/>
        </w:rPr>
        <w:t xml:space="preserve"> 具体情况如下：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1. 因公出国（境）经费支出0万元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全年安排因公出国（境） 团组 0 次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出国（境）0人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因公出国（境）支出决算比 2019年   减少 0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 xml:space="preserve">2.公务用车购置及运行维护费支出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4.10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公务用车购置 及运行维护费支出决算比 2019 年增加 0.00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 xml:space="preserve"> 与上年持平。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其中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公务用车购置支出0万元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截至2020年12月底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单位共有公务用车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pacing w:val="0"/>
        </w:rPr>
        <w:t>辆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其中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：商务车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pacing w:val="0"/>
        </w:rPr>
        <w:t>辆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公务用车运行维护费支出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4.10</w:t>
      </w:r>
      <w:r>
        <w:rPr>
          <w:rFonts w:hint="default" w:ascii="Times New Roman" w:hAnsi="Times New Roman" w:eastAsia="新宋体" w:cs="Times New Roman"/>
          <w:spacing w:val="0"/>
        </w:rPr>
        <w:t>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主要用于日常用车等所需的公务用车燃料费、维修费、过路过桥费、保险费等支出。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 xml:space="preserve">公务接待费支出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1.83</w:t>
      </w:r>
      <w:r>
        <w:rPr>
          <w:rFonts w:hint="default" w:ascii="Times New Roman" w:hAnsi="Times New Roman" w:eastAsia="新宋体" w:cs="Times New Roman"/>
          <w:spacing w:val="0"/>
        </w:rPr>
        <w:t xml:space="preserve">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公务接待费支出决算比 2019年增 加 0 万元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与上年持平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其中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国内公务接待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48</w:t>
      </w:r>
      <w:r>
        <w:rPr>
          <w:rFonts w:hint="default" w:ascii="Times New Roman" w:hAnsi="Times New Roman" w:eastAsia="新宋体" w:cs="Times New Roman"/>
          <w:spacing w:val="0"/>
        </w:rPr>
        <w:t>批次，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389</w:t>
      </w:r>
      <w:r>
        <w:rPr>
          <w:rFonts w:hint="default" w:ascii="Times New Roman" w:hAnsi="Times New Roman" w:eastAsia="新宋体" w:cs="Times New Roman"/>
          <w:spacing w:val="0"/>
        </w:rPr>
        <w:t>人次（不包括陪同人员）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共计支出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1.83</w:t>
      </w:r>
      <w:r>
        <w:rPr>
          <w:rFonts w:hint="default" w:ascii="Times New Roman" w:hAnsi="Times New Roman" w:eastAsia="新宋体" w:cs="Times New Roman"/>
          <w:spacing w:val="0"/>
        </w:rPr>
        <w:t>万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66040</wp:posOffset>
            </wp:positionV>
            <wp:extent cx="5720080" cy="2734945"/>
            <wp:effectExtent l="4445" t="4445" r="9525" b="22860"/>
            <wp:wrapTight wrapText="bothSides">
              <wp:wrapPolygon>
                <wp:start x="-17" y="-35"/>
                <wp:lineTo x="-17" y="21480"/>
                <wp:lineTo x="21564" y="21480"/>
                <wp:lineTo x="21564" y="-35"/>
                <wp:lineTo x="-17" y="-35"/>
              </wp:wrapPolygon>
            </wp:wrapTight>
            <wp:docPr id="15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>
      <w:pPr>
        <w:pStyle w:val="3"/>
        <w:bidi w:val="0"/>
        <w:ind w:firstLine="643" w:firstLineChars="200"/>
        <w:rPr>
          <w:rFonts w:hint="default" w:ascii="Times New Roman" w:hAnsi="Times New Roman" w:cs="Times New Roman"/>
          <w:spacing w:val="0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6" w:name="_Toc19764"/>
      <w:r>
        <w:rPr>
          <w:rFonts w:hint="default" w:ascii="Times New Roman" w:hAnsi="Times New Roman" w:cs="Times New Roman"/>
          <w:spacing w:val="0"/>
        </w:rPr>
        <w:t>八、 政府性基金预算支出决算情况说明</w:t>
      </w:r>
      <w:bookmarkEnd w:id="1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2020 年无政府性基金预算拨款安排的支出。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7" w:name="_Toc20831"/>
      <w:r>
        <w:rPr>
          <w:rFonts w:hint="default" w:ascii="Times New Roman" w:hAnsi="Times New Roman" w:cs="Times New Roman"/>
          <w:spacing w:val="0"/>
        </w:rPr>
        <w:t>九、 国有资本经营预算支出决算情况说明</w:t>
      </w:r>
      <w:bookmarkEnd w:id="17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2020 年无国有资本经营预算拨款安排的支出。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spacing w:val="0"/>
        </w:rPr>
      </w:pPr>
      <w:bookmarkStart w:id="18" w:name="_Toc17823"/>
      <w:r>
        <w:rPr>
          <w:rFonts w:hint="default" w:ascii="Times New Roman" w:hAnsi="Times New Roman" w:cs="Times New Roman"/>
          <w:spacing w:val="0"/>
        </w:rPr>
        <w:t>十、 其他重要事项的情况说明</w:t>
      </w:r>
      <w:bookmarkEnd w:id="18"/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19" w:name="_Toc14923"/>
      <w:r>
        <w:rPr>
          <w:rFonts w:hint="default" w:ascii="Times New Roman" w:hAnsi="Times New Roman" w:cs="Times New Roman"/>
          <w:b w:val="0"/>
          <w:bCs/>
          <w:spacing w:val="0"/>
        </w:rPr>
        <w:t>（一）机关运行经费支出情况</w:t>
      </w:r>
      <w:bookmarkEnd w:id="1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Microsoft JhengHei" w:cs="Times New Roman"/>
          <w:spacing w:val="0"/>
          <w:szCs w:val="32"/>
        </w:rPr>
      </w:pPr>
      <w:r>
        <w:rPr>
          <w:rFonts w:hint="default" w:ascii="Times New Roman" w:hAnsi="Times New Roman" w:cs="Times New Roman"/>
          <w:spacing w:val="0"/>
        </w:rPr>
        <w:t>2020 年</w:t>
      </w:r>
      <w:r>
        <w:rPr>
          <w:rFonts w:hint="default" w:ascii="Times New Roman" w:hAnsi="Times New Roman" w:cs="Times New Roman"/>
          <w:spacing w:val="0"/>
          <w:lang w:eastAsia="zh-CN"/>
        </w:rPr>
        <w:t>，四川省开江中学</w:t>
      </w:r>
      <w:r>
        <w:rPr>
          <w:rFonts w:hint="default" w:ascii="Times New Roman" w:hAnsi="Times New Roman" w:cs="Times New Roman"/>
          <w:spacing w:val="0"/>
        </w:rPr>
        <w:t>是财政补助事业单位</w:t>
      </w:r>
      <w:r>
        <w:rPr>
          <w:rFonts w:hint="default" w:ascii="Times New Roman" w:hAnsi="Times New Roman" w:cs="Times New Roman"/>
          <w:spacing w:val="0"/>
          <w:lang w:eastAsia="zh-CN"/>
        </w:rPr>
        <w:t>，</w:t>
      </w:r>
      <w:r>
        <w:rPr>
          <w:rFonts w:hint="default" w:ascii="Times New Roman" w:hAnsi="Times New Roman" w:cs="Times New Roman"/>
          <w:spacing w:val="0"/>
        </w:rPr>
        <w:t xml:space="preserve"> 无机</w:t>
      </w:r>
      <w:r>
        <w:rPr>
          <w:rFonts w:hint="default" w:ascii="Times New Roman" w:hAnsi="Times New Roman" w:cs="Times New Roman"/>
          <w:spacing w:val="0"/>
          <w:lang w:eastAsia="zh-CN"/>
        </w:rPr>
        <w:t>关</w:t>
      </w:r>
      <w:r>
        <w:rPr>
          <w:rFonts w:hint="default" w:ascii="Times New Roman" w:hAnsi="Times New Roman" w:cs="Times New Roman"/>
          <w:spacing w:val="0"/>
        </w:rPr>
        <w:t>运行经费支出。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20" w:name="_Toc11505"/>
      <w:r>
        <w:rPr>
          <w:rFonts w:hint="default" w:ascii="Times New Roman" w:hAnsi="Times New Roman" w:cs="Times New Roman"/>
          <w:b w:val="0"/>
          <w:bCs/>
          <w:spacing w:val="0"/>
        </w:rPr>
        <w:t>（二）政府采购支出情况</w:t>
      </w:r>
      <w:bookmarkEnd w:id="2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2019年，本单位无此项支出。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</w:rPr>
      </w:pPr>
      <w:bookmarkStart w:id="21" w:name="_Toc21551"/>
      <w:r>
        <w:rPr>
          <w:rFonts w:hint="default" w:ascii="Times New Roman" w:hAnsi="Times New Roman" w:cs="Times New Roman"/>
          <w:b w:val="0"/>
          <w:bCs/>
        </w:rPr>
        <w:t>（三） 国有资产占有使用情况</w:t>
      </w:r>
      <w:bookmarkEnd w:id="21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  <w:szCs w:val="32"/>
        </w:rPr>
      </w:pPr>
      <w:r>
        <w:rPr>
          <w:rFonts w:hint="default" w:ascii="Times New Roman" w:hAnsi="Times New Roman" w:eastAsia="新宋体" w:cs="Times New Roman"/>
          <w:spacing w:val="0"/>
        </w:rPr>
        <w:t>截至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2020</w:t>
      </w:r>
      <w:r>
        <w:rPr>
          <w:rFonts w:hint="default" w:ascii="Times New Roman" w:hAnsi="Times New Roman" w:eastAsia="新宋体" w:cs="Times New Roman"/>
          <w:spacing w:val="0"/>
        </w:rPr>
        <w:t>年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12</w:t>
      </w:r>
      <w:r>
        <w:rPr>
          <w:rFonts w:hint="default" w:ascii="Times New Roman" w:hAnsi="Times New Roman" w:eastAsia="新宋体" w:cs="Times New Roman"/>
          <w:spacing w:val="0"/>
        </w:rPr>
        <w:t>月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31</w:t>
      </w:r>
      <w:r>
        <w:rPr>
          <w:rFonts w:hint="default" w:ascii="Times New Roman" w:hAnsi="Times New Roman" w:eastAsia="新宋体" w:cs="Times New Roman"/>
          <w:spacing w:val="0"/>
        </w:rPr>
        <w:t>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，四川省开江</w:t>
      </w:r>
      <w:r>
        <w:rPr>
          <w:rFonts w:hint="default" w:ascii="Times New Roman" w:hAnsi="Times New Roman" w:eastAsia="新宋体" w:cs="Times New Roman"/>
          <w:spacing w:val="0"/>
        </w:rPr>
        <w:t>中学共有车辆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pacing w:val="0"/>
        </w:rPr>
        <w:t>辆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其中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其他车辆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</w:t>
      </w:r>
      <w:r>
        <w:rPr>
          <w:rFonts w:hint="default" w:ascii="Times New Roman" w:hAnsi="Times New Roman" w:eastAsia="新宋体" w:cs="Times New Roman"/>
          <w:spacing w:val="0"/>
        </w:rPr>
        <w:t>辆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主要用于公务办公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单价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50</w:t>
      </w:r>
      <w:r>
        <w:rPr>
          <w:rFonts w:hint="default" w:ascii="Times New Roman" w:hAnsi="Times New Roman" w:eastAsia="新宋体" w:cs="Times New Roman"/>
          <w:spacing w:val="0"/>
        </w:rPr>
        <w:t xml:space="preserve">万元以上通用设备 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3</w:t>
      </w:r>
      <w:r>
        <w:rPr>
          <w:rFonts w:hint="default" w:ascii="Times New Roman" w:hAnsi="Times New Roman" w:eastAsia="新宋体" w:cs="Times New Roman"/>
          <w:spacing w:val="0"/>
        </w:rPr>
        <w:t xml:space="preserve"> 台（套）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单价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100</w:t>
      </w:r>
      <w:r>
        <w:rPr>
          <w:rFonts w:hint="default" w:ascii="Times New Roman" w:hAnsi="Times New Roman" w:eastAsia="新宋体" w:cs="Times New Roman"/>
          <w:spacing w:val="0"/>
        </w:rPr>
        <w:t>万元以上专用设备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</w:t>
      </w:r>
      <w:r>
        <w:rPr>
          <w:rFonts w:hint="default" w:ascii="Times New Roman" w:hAnsi="Times New Roman" w:eastAsia="新宋体" w:cs="Times New Roman"/>
          <w:spacing w:val="0"/>
        </w:rPr>
        <w:t>台（套）。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spacing w:val="0"/>
        </w:rPr>
      </w:pPr>
      <w:bookmarkStart w:id="22" w:name="_Toc19795"/>
      <w:r>
        <w:rPr>
          <w:rFonts w:hint="default" w:ascii="Times New Roman" w:hAnsi="Times New Roman" w:cs="Times New Roman"/>
          <w:b w:val="0"/>
          <w:bCs/>
          <w:lang w:eastAsia="zh-CN"/>
        </w:rPr>
        <w:t>（四）</w:t>
      </w:r>
      <w:r>
        <w:rPr>
          <w:rFonts w:hint="default" w:ascii="Times New Roman" w:hAnsi="Times New Roman" w:cs="Times New Roman"/>
          <w:b w:val="0"/>
          <w:bCs/>
        </w:rPr>
        <w:t>预算绩效管理情况。</w:t>
      </w:r>
      <w:bookmarkEnd w:id="2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cs="Times New Roman"/>
          <w:spacing w:val="0"/>
        </w:rPr>
        <w:t>根据预算绩效管理要求，本部门按要求对20</w:t>
      </w:r>
      <w:r>
        <w:rPr>
          <w:rFonts w:hint="default" w:ascii="Times New Roman" w:hAnsi="Times New Roman" w:cs="Times New Roman"/>
          <w:spacing w:val="0"/>
          <w:lang w:val="en-US" w:eastAsia="zh-CN"/>
        </w:rPr>
        <w:t>20</w:t>
      </w:r>
      <w:r>
        <w:rPr>
          <w:rFonts w:hint="default" w:ascii="Times New Roman" w:hAnsi="Times New Roman" w:cs="Times New Roman"/>
          <w:spacing w:val="0"/>
        </w:rPr>
        <w:t xml:space="preserve">年部门整体支出开展绩效自评，从评价情况来看全面完成了预算执行，达到了预期效果。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1.项目绩效目标完成情况。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 xml:space="preserve">   </w:t>
      </w:r>
      <w:r>
        <w:rPr>
          <w:rFonts w:hint="eastAsia" w:ascii="Times New Roman" w:hAnsi="Times New Roman" w:eastAsia="新宋体" w:cs="Times New Roman"/>
          <w:spacing w:val="0"/>
          <w:lang w:val="en-US" w:eastAsia="zh-CN"/>
        </w:rPr>
        <w:t xml:space="preserve">  </w:t>
      </w:r>
      <w:r>
        <w:rPr>
          <w:rFonts w:hint="default" w:ascii="Times New Roman" w:hAnsi="Times New Roman" w:eastAsia="新宋体" w:cs="Times New Roman"/>
          <w:spacing w:val="0"/>
        </w:rPr>
        <w:t xml:space="preserve">  本单位20</w:t>
      </w:r>
      <w:r>
        <w:rPr>
          <w:rFonts w:hint="eastAsia" w:ascii="Times New Roman" w:hAnsi="Times New Roman" w:eastAsia="新宋体" w:cs="Times New Roman"/>
          <w:spacing w:val="0"/>
          <w:lang w:val="en-US" w:eastAsia="zh-CN"/>
        </w:rPr>
        <w:t>20</w:t>
      </w:r>
      <w:r>
        <w:rPr>
          <w:rFonts w:hint="default" w:ascii="Times New Roman" w:hAnsi="Times New Roman" w:eastAsia="新宋体" w:cs="Times New Roman"/>
          <w:spacing w:val="0"/>
        </w:rPr>
        <w:t>年度无项目执行情况。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2.部门绩效评价结果。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本部门按要</w:t>
      </w:r>
      <w:bookmarkStart w:id="56" w:name="_GoBack"/>
      <w:bookmarkEnd w:id="56"/>
      <w:r>
        <w:rPr>
          <w:rFonts w:hint="default" w:ascii="Times New Roman" w:hAnsi="Times New Roman" w:eastAsia="新宋体" w:cs="Times New Roman"/>
          <w:spacing w:val="0"/>
        </w:rPr>
        <w:t>求对20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20</w:t>
      </w:r>
      <w:r>
        <w:rPr>
          <w:rFonts w:hint="default" w:ascii="Times New Roman" w:hAnsi="Times New Roman" w:eastAsia="新宋体" w:cs="Times New Roman"/>
          <w:spacing w:val="0"/>
        </w:rPr>
        <w:t>年部门整体支出绩效评价情况开展自评，《四川省开江中学20</w:t>
      </w:r>
      <w:r>
        <w:rPr>
          <w:rFonts w:hint="eastAsia" w:ascii="Times New Roman" w:hAnsi="Times New Roman" w:eastAsia="新宋体" w:cs="Times New Roman"/>
          <w:spacing w:val="0"/>
          <w:lang w:val="en-US" w:eastAsia="zh-CN"/>
        </w:rPr>
        <w:t>20</w:t>
      </w:r>
      <w:r>
        <w:rPr>
          <w:rFonts w:hint="default" w:ascii="Times New Roman" w:hAnsi="Times New Roman" w:eastAsia="新宋体" w:cs="Times New Roman"/>
          <w:spacing w:val="0"/>
        </w:rPr>
        <w:t>年部门整体支出绩效评价报告》见附件1。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Times New Roman" w:hAnsi="Times New Roman" w:cs="Times New Roman"/>
          <w:spacing w:val="0"/>
        </w:rPr>
        <w:sectPr>
          <w:footerReference r:id="rId8" w:type="default"/>
          <w:pgSz w:w="11906" w:h="16839"/>
          <w:pgMar w:top="2098" w:right="1474" w:bottom="1984" w:left="1587" w:header="0" w:footer="1342" w:gutter="0"/>
          <w:pgNumType w:fmt="decimal"/>
          <w:cols w:space="720" w:num="1"/>
          <w:rtlGutter w:val="0"/>
          <w:docGrid w:linePitch="0" w:charSpace="0"/>
        </w:sectPr>
      </w:pPr>
    </w:p>
    <w:p>
      <w:pPr>
        <w:pStyle w:val="2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spacing w:val="0"/>
        </w:rPr>
      </w:pPr>
      <w:bookmarkStart w:id="23" w:name="_Toc4091"/>
      <w:r>
        <w:rPr>
          <w:rFonts w:hint="default" w:ascii="Times New Roman" w:hAnsi="Times New Roman" w:cs="Times New Roman"/>
          <w:spacing w:val="0"/>
        </w:rPr>
        <w:t>第三部分  名词解释</w:t>
      </w:r>
      <w:bookmarkEnd w:id="2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1.财政拨款收入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指单位从同级财政部门取得的财政预算资 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2.事业收入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指事业单位开展专业业务活动及辅助活动取得的收入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如高中教育性收入等。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3.其他收入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指单位取得的除上述收入以外的各项收入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主 要是少先队示范基地校经费等。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4</w:t>
      </w:r>
      <w:r>
        <w:rPr>
          <w:rFonts w:hint="default" w:ascii="Times New Roman" w:hAnsi="Times New Roman" w:eastAsia="新宋体" w:cs="Times New Roman"/>
          <w:spacing w:val="0"/>
          <w:lang w:val="en-US"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年末结转和结余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指单位按有关规定结转到下年或以后年 度继续使用的资金。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5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教育（类）教育管理事务（款）一般行政管理事务（项）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：</w:t>
      </w:r>
      <w:r>
        <w:rPr>
          <w:rFonts w:hint="default" w:ascii="Times New Roman" w:hAnsi="Times New Roman" w:eastAsia="新宋体" w:cs="Times New Roman"/>
          <w:spacing w:val="0"/>
        </w:rPr>
        <w:t>指行政单位（包括实行公务员管理的事业单位）未单独设置项级 科目的其他项目支出。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6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教育（类）普通教育（款）初中教育（项）:指各部门举办 的初中教育支出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政府各部门对社会中介组织等举办的初中的资 助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如捐赠、补贴等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也在本科目反映。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7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教育（类）普通教育（款）高中教育（项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）：</w:t>
      </w:r>
      <w:r>
        <w:rPr>
          <w:rFonts w:hint="default" w:ascii="Times New Roman" w:hAnsi="Times New Roman" w:eastAsia="新宋体" w:cs="Times New Roman"/>
          <w:spacing w:val="0"/>
        </w:rPr>
        <w:t>指各部门举办 的高级教育支出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。</w:t>
      </w:r>
      <w:r>
        <w:rPr>
          <w:rFonts w:hint="default" w:ascii="Times New Roman" w:hAnsi="Times New Roman" w:eastAsia="新宋体" w:cs="Times New Roman"/>
          <w:spacing w:val="0"/>
        </w:rPr>
        <w:t>政府各部门对社会中介组织等举办的高级中学 的资助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如捐赠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、</w:t>
      </w:r>
      <w:r>
        <w:rPr>
          <w:rFonts w:hint="default" w:ascii="Times New Roman" w:hAnsi="Times New Roman" w:eastAsia="新宋体" w:cs="Times New Roman"/>
          <w:spacing w:val="0"/>
        </w:rPr>
        <w:t>补贴等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，</w:t>
      </w:r>
      <w:r>
        <w:rPr>
          <w:rFonts w:hint="default" w:ascii="Times New Roman" w:hAnsi="Times New Roman" w:eastAsia="新宋体" w:cs="Times New Roman"/>
          <w:spacing w:val="0"/>
        </w:rPr>
        <w:t>也在本科目反映。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</w:rPr>
      </w:pPr>
      <w:r>
        <w:rPr>
          <w:rFonts w:hint="default" w:ascii="Times New Roman" w:hAnsi="Times New Roman" w:eastAsia="新宋体" w:cs="Times New Roman"/>
          <w:spacing w:val="0"/>
        </w:rPr>
        <w:t>8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教育（类）普通教育（款）其他普通教育支出（项）:指其 他用于普通教育方面的支出。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eastAsia="新宋体" w:cs="Times New Roman"/>
          <w:spacing w:val="0"/>
          <w:lang w:eastAsia="zh-CN"/>
        </w:rPr>
      </w:pPr>
      <w:r>
        <w:rPr>
          <w:rFonts w:hint="default" w:ascii="Times New Roman" w:hAnsi="Times New Roman" w:eastAsia="新宋体" w:cs="Times New Roman"/>
          <w:spacing w:val="0"/>
        </w:rPr>
        <w:t>9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.</w:t>
      </w:r>
      <w:r>
        <w:rPr>
          <w:rFonts w:hint="default" w:ascii="Times New Roman" w:hAnsi="Times New Roman" w:eastAsia="新宋体" w:cs="Times New Roman"/>
          <w:spacing w:val="0"/>
        </w:rPr>
        <w:t>教育（类）教育费附加安排的支出（款）其他教育费附加</w:t>
      </w:r>
      <w:r>
        <w:rPr>
          <w:rFonts w:hint="default" w:ascii="Times New Roman" w:hAnsi="Times New Roman" w:eastAsia="新宋体" w:cs="Times New Roman"/>
          <w:spacing w:val="0"/>
          <w:lang w:eastAsia="zh-CN"/>
        </w:rPr>
        <w:t>等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lang w:eastAsia="zh-CN"/>
        </w:rPr>
      </w:pPr>
      <w:bookmarkStart w:id="24" w:name="_Toc3512"/>
      <w:r>
        <w:rPr>
          <w:rFonts w:hint="default" w:ascii="Times New Roman" w:hAnsi="Times New Roman" w:cs="Times New Roman"/>
          <w:lang w:eastAsia="zh-CN"/>
        </w:rPr>
        <w:t>第四部分 附件</w:t>
      </w:r>
      <w:bookmarkEnd w:id="24"/>
    </w:p>
    <w:p>
      <w:pPr>
        <w:bidi w:val="0"/>
        <w:rPr>
          <w:rFonts w:hint="default" w:ascii="Times New Roman" w:hAnsi="Times New Roman" w:cs="Times New Roman"/>
          <w:b/>
          <w:bCs/>
          <w:lang w:eastAsia="zh-CN"/>
        </w:rPr>
      </w:pPr>
      <w:r>
        <w:rPr>
          <w:rFonts w:hint="default" w:ascii="Times New Roman" w:hAnsi="Times New Roman" w:cs="Times New Roman"/>
          <w:b/>
          <w:bCs/>
          <w:lang w:eastAsia="zh-CN"/>
        </w:rPr>
        <w:t>附件1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lang w:eastAsia="zh-CN"/>
        </w:rPr>
      </w:pPr>
      <w:bookmarkStart w:id="25" w:name="_Toc5007"/>
      <w:r>
        <w:rPr>
          <w:rFonts w:hint="default" w:ascii="Times New Roman" w:hAnsi="Times New Roman" w:cs="Times New Roman"/>
          <w:lang w:eastAsia="zh-CN"/>
        </w:rPr>
        <w:t>四川省开江中学</w:t>
      </w:r>
      <w:bookmarkEnd w:id="25"/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default" w:ascii="Times New Roman" w:hAnsi="Times New Roman" w:cs="Times New Roman"/>
          <w:lang w:eastAsia="zh-CN"/>
        </w:rPr>
      </w:pPr>
      <w:bookmarkStart w:id="26" w:name="_Toc21587"/>
      <w:r>
        <w:rPr>
          <w:rFonts w:hint="default" w:ascii="Times New Roman" w:hAnsi="Times New Roman" w:cs="Times New Roman"/>
          <w:lang w:eastAsia="zh-CN"/>
        </w:rPr>
        <w:t>2019年部门整体支出绩效评价报告</w:t>
      </w:r>
      <w:bookmarkEnd w:id="26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bookmarkStart w:id="27" w:name="_Toc27868"/>
      <w:r>
        <w:rPr>
          <w:rFonts w:hint="default" w:ascii="Times New Roman" w:hAnsi="Times New Roman" w:cs="Times New Roman"/>
          <w:lang w:eastAsia="zh-CN"/>
        </w:rPr>
        <w:t>一、部门（单位）概况</w:t>
      </w:r>
      <w:bookmarkEnd w:id="27"/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lang w:eastAsia="zh-CN"/>
        </w:rPr>
      </w:pPr>
      <w:bookmarkStart w:id="28" w:name="_Toc23984"/>
      <w:r>
        <w:rPr>
          <w:rFonts w:hint="default" w:ascii="Times New Roman" w:hAnsi="Times New Roman" w:cs="Times New Roman"/>
          <w:b w:val="0"/>
          <w:bCs/>
          <w:lang w:eastAsia="zh-CN"/>
        </w:rPr>
        <w:t>（一）机构组成</w:t>
      </w:r>
      <w:bookmarkEnd w:id="2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四川省开江中学属全额拨款事业单位，是一个独立核算单位。我校是一所省级重点中学。创办于1920年9月，位于开江县普安镇金山大道156号。内设机构7个，包括：办公室、教务处、总务处、体卫艺处、学生处、工会办公室、团委办公室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 w:ascii="Times New Roman" w:hAnsi="Times New Roman" w:cs="Times New Roman"/>
          <w:b w:val="0"/>
          <w:bCs/>
          <w:lang w:eastAsia="zh-CN"/>
        </w:rPr>
      </w:pPr>
      <w:bookmarkStart w:id="29" w:name="_Toc15131"/>
      <w:r>
        <w:rPr>
          <w:rFonts w:hint="default" w:ascii="Times New Roman" w:hAnsi="Times New Roman" w:cs="Times New Roman"/>
          <w:b w:val="0"/>
          <w:bCs/>
          <w:lang w:eastAsia="zh-CN"/>
        </w:rPr>
        <w:t>（二）机构职能</w:t>
      </w:r>
      <w:bookmarkEnd w:id="2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四川省开江中学职责主要是实施高中学历教育，促进教育事业发展，是一所省级重点中学。  在党的教育方针指引下， 学校以“坚持依法治校，打造法治开中；坚持质量立校，打造激情开中；坚持民主管理，打造和谐开中；坚持以人为本，打造幸福开中”作为办学理念，以教学工作为中心，以推进课程改革为主线，以建设高素质师资队伍为根本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bookmarkStart w:id="30" w:name="_Toc13720"/>
      <w:r>
        <w:rPr>
          <w:rFonts w:hint="default" w:ascii="Times New Roman" w:hAnsi="Times New Roman" w:cs="Times New Roman"/>
          <w:lang w:eastAsia="zh-CN"/>
        </w:rPr>
        <w:t>（三）人员概况</w:t>
      </w:r>
      <w:bookmarkEnd w:id="3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jc w:val="both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2019年编制人数300名，年末财政供养人数为：在职人员</w:t>
      </w:r>
      <w:r>
        <w:rPr>
          <w:rFonts w:hint="eastAsia" w:ascii="Times New Roman" w:hAnsi="Times New Roman" w:cs="Times New Roman"/>
          <w:lang w:val="en-US" w:eastAsia="zh-CN"/>
        </w:rPr>
        <w:t>281</w:t>
      </w:r>
      <w:r>
        <w:rPr>
          <w:rFonts w:hint="default" w:ascii="Times New Roman" w:hAnsi="Times New Roman" w:cs="Times New Roman"/>
          <w:lang w:eastAsia="zh-CN"/>
        </w:rPr>
        <w:t>人，退休人员120人，遗属人员15人。年末在校小学生</w:t>
      </w:r>
      <w:r>
        <w:rPr>
          <w:rFonts w:hint="eastAsia" w:ascii="Times New Roman" w:hAnsi="Times New Roman" w:cs="Times New Roman"/>
          <w:lang w:val="en-US" w:eastAsia="zh-CN"/>
        </w:rPr>
        <w:t>4122</w:t>
      </w:r>
      <w:r>
        <w:rPr>
          <w:rFonts w:hint="default" w:ascii="Times New Roman" w:hAnsi="Times New Roman" w:cs="Times New Roman"/>
          <w:lang w:eastAsia="zh-CN"/>
        </w:rPr>
        <w:t>人。</w:t>
      </w:r>
    </w:p>
    <w:p>
      <w:pPr>
        <w:pStyle w:val="3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/>
          <w:lang w:eastAsia="zh-CN"/>
        </w:rPr>
      </w:pPr>
      <w:bookmarkStart w:id="31" w:name="_Toc26260"/>
      <w:r>
        <w:rPr>
          <w:rFonts w:hint="eastAsia"/>
          <w:lang w:val="en-US" w:eastAsia="zh-CN"/>
        </w:rPr>
        <w:t xml:space="preserve">二、 </w:t>
      </w:r>
      <w:r>
        <w:rPr>
          <w:rFonts w:hint="default"/>
          <w:lang w:eastAsia="zh-CN"/>
        </w:rPr>
        <w:t>部门财政资金收支情况</w:t>
      </w:r>
      <w:bookmarkEnd w:id="31"/>
    </w:p>
    <w:p>
      <w:pPr>
        <w:pStyle w:val="3"/>
        <w:keepNext/>
        <w:keepLines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 w:val="0"/>
          <w:lang w:eastAsia="zh-CN"/>
        </w:rPr>
      </w:pPr>
      <w:bookmarkStart w:id="32" w:name="_Toc10291"/>
      <w:r>
        <w:rPr>
          <w:rFonts w:hint="default"/>
          <w:b w:val="0"/>
          <w:bCs w:val="0"/>
          <w:lang w:eastAsia="zh-CN"/>
        </w:rPr>
        <w:t>（一）部门财政资金收入情况</w:t>
      </w:r>
      <w:bookmarkEnd w:id="32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lang w:eastAsia="zh-CN"/>
        </w:rPr>
        <w:t>年度我校总收入：</w:t>
      </w:r>
      <w:r>
        <w:rPr>
          <w:rFonts w:hint="default" w:ascii="Times New Roman" w:hAnsi="Times New Roman" w:cs="Times New Roman" w:eastAsiaTheme="minorEastAsia"/>
          <w:spacing w:val="0"/>
          <w:sz w:val="30"/>
          <w:szCs w:val="30"/>
          <w:lang w:val="en-US" w:eastAsia="zh-CN"/>
        </w:rPr>
        <w:t>4369.99</w:t>
      </w:r>
      <w:r>
        <w:rPr>
          <w:rFonts w:hint="default" w:ascii="Times New Roman" w:hAnsi="Times New Roman" w:cs="Times New Roman"/>
          <w:lang w:eastAsia="zh-CN"/>
        </w:rPr>
        <w:t>万元（财政补助收入</w:t>
      </w:r>
      <w:r>
        <w:rPr>
          <w:rFonts w:hint="eastAsia" w:ascii="Times New Roman" w:hAnsi="Times New Roman" w:cs="Times New Roman"/>
          <w:lang w:val="en-US" w:eastAsia="zh-CN"/>
        </w:rPr>
        <w:t>3796.91</w:t>
      </w:r>
      <w:r>
        <w:rPr>
          <w:rFonts w:hint="default" w:ascii="Times New Roman" w:hAnsi="Times New Roman" w:cs="Times New Roman"/>
          <w:lang w:eastAsia="zh-CN"/>
        </w:rPr>
        <w:t>万元，事业收入</w:t>
      </w:r>
      <w:r>
        <w:rPr>
          <w:rFonts w:hint="default" w:ascii="Times New Roman" w:hAnsi="Times New Roman" w:cs="Times New Roman" w:eastAsiaTheme="minorEastAsia"/>
          <w:spacing w:val="0"/>
          <w:lang w:val="en-US" w:eastAsia="zh-CN"/>
        </w:rPr>
        <w:t>482.08</w:t>
      </w:r>
      <w:r>
        <w:rPr>
          <w:rFonts w:hint="default" w:ascii="Times New Roman" w:hAnsi="Times New Roman" w:cs="Times New Roman"/>
          <w:lang w:eastAsia="zh-CN"/>
        </w:rPr>
        <w:t>万元），结转上年资金91万元。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33" w:name="_Toc976"/>
      <w:r>
        <w:rPr>
          <w:rFonts w:hint="default"/>
          <w:b w:val="0"/>
          <w:bCs/>
          <w:lang w:eastAsia="zh-CN"/>
        </w:rPr>
        <w:t>（二）部门财政资金支出情况</w:t>
      </w:r>
      <w:bookmarkEnd w:id="33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全年总支出</w:t>
      </w:r>
      <w:r>
        <w:rPr>
          <w:rFonts w:hint="eastAsia" w:ascii="Times New Roman" w:hAnsi="Times New Roman" w:cs="Times New Roman"/>
          <w:lang w:val="en-US" w:eastAsia="zh-CN"/>
        </w:rPr>
        <w:t>4369.99</w:t>
      </w:r>
      <w:r>
        <w:rPr>
          <w:rFonts w:hint="default" w:ascii="Times New Roman" w:hAnsi="Times New Roman" w:cs="Times New Roman"/>
          <w:lang w:eastAsia="zh-CN"/>
        </w:rPr>
        <w:t>万元，教育支出</w:t>
      </w:r>
      <w:r>
        <w:rPr>
          <w:rFonts w:hint="eastAsia" w:ascii="Times New Roman" w:hAnsi="Times New Roman" w:cs="Times New Roman"/>
          <w:lang w:val="en-US" w:eastAsia="zh-CN"/>
        </w:rPr>
        <w:t>3591.45</w:t>
      </w:r>
      <w:r>
        <w:rPr>
          <w:rFonts w:hint="default" w:ascii="Times New Roman" w:hAnsi="Times New Roman" w:cs="Times New Roman"/>
          <w:lang w:eastAsia="zh-CN"/>
        </w:rPr>
        <w:t>万元，社会保障和就业支出（基本养老保险）</w:t>
      </w:r>
      <w:r>
        <w:rPr>
          <w:rFonts w:hint="eastAsia" w:ascii="Times New Roman" w:hAnsi="Times New Roman" w:cs="Times New Roman"/>
          <w:lang w:val="en-US" w:eastAsia="zh-CN"/>
        </w:rPr>
        <w:t>361.79</w:t>
      </w:r>
      <w:r>
        <w:rPr>
          <w:rFonts w:hint="default" w:ascii="Times New Roman" w:hAnsi="Times New Roman" w:cs="Times New Roman"/>
          <w:lang w:eastAsia="zh-CN"/>
        </w:rPr>
        <w:t>万元，医疗卫生支出（基本医疗保险）</w:t>
      </w:r>
      <w:r>
        <w:rPr>
          <w:rFonts w:hint="eastAsia" w:ascii="Times New Roman" w:hAnsi="Times New Roman" w:cs="Times New Roman"/>
          <w:lang w:val="en-US" w:eastAsia="zh-CN"/>
        </w:rPr>
        <w:t>154.82</w:t>
      </w:r>
      <w:r>
        <w:rPr>
          <w:rFonts w:hint="default" w:ascii="Times New Roman" w:hAnsi="Times New Roman" w:cs="Times New Roman"/>
          <w:lang w:eastAsia="zh-CN"/>
        </w:rPr>
        <w:t>万元，住房保障支出（住房公积金）</w:t>
      </w:r>
      <w:r>
        <w:rPr>
          <w:rFonts w:hint="eastAsia" w:ascii="Times New Roman" w:hAnsi="Times New Roman" w:cs="Times New Roman"/>
          <w:lang w:val="en-US" w:eastAsia="zh-CN"/>
        </w:rPr>
        <w:t>261.44</w:t>
      </w:r>
      <w:r>
        <w:rPr>
          <w:rFonts w:hint="default" w:ascii="Times New Roman" w:hAnsi="Times New Roman" w:cs="Times New Roman"/>
          <w:lang w:eastAsia="zh-CN"/>
        </w:rPr>
        <w:t>万元</w:t>
      </w:r>
      <w:r>
        <w:rPr>
          <w:rFonts w:hint="eastAsia" w:ascii="Times New Roman" w:hAnsi="Times New Roman" w:cs="Times New Roman"/>
          <w:lang w:eastAsia="zh-CN"/>
        </w:rPr>
        <w:t>，其他支出</w:t>
      </w:r>
      <w:r>
        <w:rPr>
          <w:rFonts w:hint="eastAsia" w:ascii="Times New Roman" w:hAnsi="Times New Roman" w:cs="Times New Roman"/>
          <w:lang w:val="en-US" w:eastAsia="zh-CN"/>
        </w:rPr>
        <w:t>0.50万元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 w:val="0"/>
          <w:lang w:eastAsia="zh-CN"/>
        </w:rPr>
      </w:pPr>
      <w:bookmarkStart w:id="34" w:name="_Toc29946"/>
      <w:r>
        <w:rPr>
          <w:rFonts w:hint="default"/>
          <w:b w:val="0"/>
          <w:bCs w:val="0"/>
          <w:lang w:eastAsia="zh-CN"/>
        </w:rPr>
        <w:t>三、部门整体预算绩效管理情况</w:t>
      </w:r>
      <w:bookmarkEnd w:id="34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根据预算绩效管理要求，开江中学以“部门职责—工作活动”为依据，保障教职工的工资、遗属的生活补助和临时工工资按时足额发放；确保学校正常运转，全面提升学校的教育教学质量，努力办好人民满意教育。财政拨款支出主要用于保障学校正常运转，包括基本工资、津贴补贴等人员经费以及办公费、印刷费、水电费、办公设备购置等日常公用经费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35" w:name="_Toc9516"/>
      <w:r>
        <w:rPr>
          <w:rFonts w:hint="default"/>
          <w:b w:val="0"/>
          <w:bCs/>
          <w:lang w:eastAsia="zh-CN"/>
        </w:rPr>
        <w:t>（二）专项预算管理</w:t>
      </w:r>
      <w:bookmarkEnd w:id="35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1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按规定要求履行了立项手续，可行性研究报告、概算批复文件、专家论证等相关附件资料齐全，项目预算资金科学合理。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财政资金拨付到位及时。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3</w:t>
      </w:r>
      <w:r>
        <w:rPr>
          <w:rFonts w:hint="eastAsia" w:ascii="Times New Roman" w:hAnsi="Times New Roman" w:cs="Times New Roman"/>
          <w:lang w:eastAsia="zh-CN"/>
        </w:rPr>
        <w:t>.</w:t>
      </w:r>
      <w:r>
        <w:rPr>
          <w:rFonts w:hint="default" w:ascii="Times New Roman" w:hAnsi="Times New Roman" w:cs="Times New Roman"/>
          <w:lang w:eastAsia="zh-CN"/>
        </w:rPr>
        <w:t>已建立项目管理制度并按照项目管理制度要求执行。4、按期保质保量完成建设。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36" w:name="_Toc6775"/>
      <w:r>
        <w:rPr>
          <w:rFonts w:hint="default"/>
          <w:b w:val="0"/>
          <w:bCs/>
          <w:lang w:eastAsia="zh-CN"/>
        </w:rPr>
        <w:t>（三）结果应用情况</w:t>
      </w:r>
      <w:bookmarkEnd w:id="36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通过绩效评价，我们认为，</w:t>
      </w:r>
      <w:r>
        <w:rPr>
          <w:rFonts w:hint="eastAsia" w:ascii="Times New Roman" w:hAnsi="Times New Roman" w:cs="Times New Roman"/>
          <w:lang w:val="en-US" w:eastAsia="zh-CN"/>
        </w:rPr>
        <w:t>2020</w:t>
      </w:r>
      <w:r>
        <w:rPr>
          <w:rFonts w:hint="default" w:ascii="Times New Roman" w:hAnsi="Times New Roman" w:cs="Times New Roman"/>
          <w:lang w:eastAsia="zh-CN"/>
        </w:rPr>
        <w:t>年度部门预算具有明确的用途和目标，制定了详细的执行计划，资金到位及时并严格按照财政有关规定使用。截止到目前学校保障了教职工的工资福利、遗属的生活补助和临时工工资按时足额发放；确保学校正常运转，全面提升学校的教育教学质量。推进了教育信息化建设，开展了大量的、具体的工作，圆满完成了各项教育教学任务，取得了可喜的成绩。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3" w:firstLineChars="200"/>
        <w:textAlignment w:val="baseline"/>
        <w:rPr>
          <w:rFonts w:hint="default"/>
          <w:lang w:eastAsia="zh-CN"/>
        </w:rPr>
      </w:pPr>
      <w:bookmarkStart w:id="37" w:name="_Toc13857"/>
      <w:r>
        <w:rPr>
          <w:rFonts w:hint="default"/>
          <w:lang w:eastAsia="zh-CN"/>
        </w:rPr>
        <w:t>四、评价结论及建议</w:t>
      </w:r>
      <w:bookmarkEnd w:id="37"/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38" w:name="_Toc2290"/>
      <w:r>
        <w:rPr>
          <w:rFonts w:hint="default"/>
          <w:b w:val="0"/>
          <w:bCs/>
          <w:lang w:eastAsia="zh-CN"/>
        </w:rPr>
        <w:t>（一）评价结论</w:t>
      </w:r>
      <w:bookmarkEnd w:id="38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本年度保障了教职工的工资福利、遗属的生活补助和临时工工资按时足额发放；确保学校正常运转，全面提升学校的教育教学质量；关心关爱留守学生，做好了对贫困学生资助工作。对学校校舍和设备进行维修维护，使设施完好率达100％。规划好运动场的改造，加强校园文化和党风廉政建设。推进了教育信息化建设，圆满完成了各项教育教学任务，取得了可喜的成绩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39" w:name="_Toc5571"/>
      <w:r>
        <w:rPr>
          <w:rFonts w:hint="default"/>
          <w:b w:val="0"/>
          <w:bCs/>
          <w:lang w:eastAsia="zh-CN"/>
        </w:rPr>
        <w:t>（二）存在问题</w:t>
      </w:r>
      <w:bookmarkEnd w:id="39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（1）年度目标规划的大而散，制定年度目标时不精准，缺乏时效性、可操作性。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（2）年初预算编制和执行不精细。学校在年初预算编制时，有些科目欠规范，在执行预算的过程中欠到位，责任分配不明确。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（3）学校监督措施及评价体系还不尽完善，建立健全内部控制监督机制不科学。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（4）评价指标体系不完善，实际操作有难度。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（5）专业人员的业务素养有待提高，对业务人员培训不够。</w:t>
      </w:r>
    </w:p>
    <w:p>
      <w:pPr>
        <w:pStyle w:val="4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default"/>
          <w:b w:val="0"/>
          <w:bCs/>
          <w:lang w:eastAsia="zh-CN"/>
        </w:rPr>
      </w:pPr>
      <w:bookmarkStart w:id="40" w:name="_Toc15214"/>
      <w:r>
        <w:rPr>
          <w:rFonts w:hint="default"/>
          <w:b w:val="0"/>
          <w:bCs/>
          <w:lang w:eastAsia="zh-CN"/>
        </w:rPr>
        <w:t>（三）改进建议</w:t>
      </w:r>
      <w:bookmarkEnd w:id="4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  <w:lang w:eastAsia="zh-CN"/>
        </w:rPr>
        <w:t>完善相关制度，推进制度落实。依据相关法律、法规及管理办法，建立分级分类、使用高效、便于操作的实施细则及业务规范，制定绩效问责制度、公开制度。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  <w:lang w:eastAsia="zh-CN"/>
        </w:rPr>
        <w:t>科学组织预算绩效评价工作，完善预算绩效管理指标数据库。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  <w:lang w:eastAsia="zh-CN"/>
        </w:rPr>
        <w:t>是引入第三方评价机制，形成内外部评价相互补充，财政部门、预算单位和受托第三方评价机构各司其职、密切配合的机制，提高评价结果的权威性和公正性。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0" w:firstLineChars="200"/>
        <w:textAlignment w:val="baseline"/>
        <w:rPr>
          <w:rFonts w:hint="default" w:ascii="Times New Roman" w:hAnsi="Times New Roman" w:cs="Times New Roman"/>
          <w:spacing w:val="0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  <w:lang w:eastAsia="zh-CN"/>
        </w:rPr>
        <w:t>组织业务培训提高业务水平和能力，培养一批专业人才队伍。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default" w:ascii="Times New Roman" w:hAnsi="Times New Roman" w:cs="Times New Roman"/>
          <w:spacing w:val="0"/>
          <w:lang w:eastAsia="zh-CN"/>
        </w:rPr>
      </w:pPr>
      <w:bookmarkStart w:id="41" w:name="_Toc4678"/>
      <w:r>
        <w:rPr>
          <w:rFonts w:hint="default" w:ascii="Times New Roman" w:hAnsi="Times New Roman" w:cs="Times New Roman"/>
          <w:spacing w:val="0"/>
          <w:lang w:eastAsia="zh-CN"/>
        </w:rPr>
        <w:t>第五部分：附表</w:t>
      </w:r>
      <w:bookmarkEnd w:id="41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2" w:name="_Toc29092"/>
      <w:r>
        <w:rPr>
          <w:rFonts w:hint="default" w:ascii="Times New Roman" w:hAnsi="Times New Roman" w:cs="Times New Roman"/>
          <w:b w:val="0"/>
          <w:bCs w:val="0"/>
        </w:rPr>
        <w:t>一、收入支出决算总表</w:t>
      </w:r>
      <w:bookmarkEnd w:id="42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3" w:name="_Toc13700"/>
      <w:r>
        <w:rPr>
          <w:rFonts w:hint="default" w:ascii="Times New Roman" w:hAnsi="Times New Roman" w:cs="Times New Roman"/>
          <w:b w:val="0"/>
          <w:bCs w:val="0"/>
        </w:rPr>
        <w:t>二、收入决算表</w:t>
      </w:r>
      <w:bookmarkEnd w:id="43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4" w:name="_Toc23274"/>
      <w:r>
        <w:rPr>
          <w:rFonts w:hint="default" w:ascii="Times New Roman" w:hAnsi="Times New Roman" w:cs="Times New Roman"/>
          <w:b w:val="0"/>
          <w:bCs w:val="0"/>
        </w:rPr>
        <w:t>三、支出决算表</w:t>
      </w:r>
      <w:bookmarkEnd w:id="44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5" w:name="_Toc4824"/>
      <w:r>
        <w:rPr>
          <w:rFonts w:hint="default" w:ascii="Times New Roman" w:hAnsi="Times New Roman" w:cs="Times New Roman"/>
          <w:b w:val="0"/>
          <w:bCs w:val="0"/>
        </w:rPr>
        <w:t>四、财政拨款收入支出决算总表</w:t>
      </w:r>
      <w:bookmarkEnd w:id="45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6" w:name="_Toc16669"/>
      <w:r>
        <w:rPr>
          <w:rFonts w:hint="default" w:ascii="Times New Roman" w:hAnsi="Times New Roman" w:cs="Times New Roman"/>
          <w:b w:val="0"/>
          <w:bCs w:val="0"/>
        </w:rPr>
        <w:t>五、财政拨款支出决算明细表</w:t>
      </w:r>
      <w:bookmarkEnd w:id="46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7" w:name="_Toc2261"/>
      <w:r>
        <w:rPr>
          <w:rFonts w:hint="default" w:ascii="Times New Roman" w:hAnsi="Times New Roman" w:cs="Times New Roman"/>
          <w:b w:val="0"/>
          <w:bCs w:val="0"/>
        </w:rPr>
        <w:t>六、一般公共预算财政拨款支出决算表</w:t>
      </w:r>
      <w:bookmarkEnd w:id="47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8" w:name="_Toc31749"/>
      <w:r>
        <w:rPr>
          <w:rFonts w:hint="default" w:ascii="Times New Roman" w:hAnsi="Times New Roman" w:cs="Times New Roman"/>
          <w:b w:val="0"/>
          <w:bCs w:val="0"/>
        </w:rPr>
        <w:t>七、一般公共预算财政拨款支出决算明细表</w:t>
      </w:r>
      <w:bookmarkEnd w:id="48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49" w:name="_Toc15771"/>
      <w:r>
        <w:rPr>
          <w:rFonts w:hint="default" w:ascii="Times New Roman" w:hAnsi="Times New Roman" w:cs="Times New Roman"/>
          <w:b w:val="0"/>
          <w:bCs w:val="0"/>
        </w:rPr>
        <w:t>八、一般公共预算财政拨款基本支出决算表</w:t>
      </w:r>
      <w:bookmarkEnd w:id="49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50" w:name="_Toc30937"/>
      <w:r>
        <w:rPr>
          <w:rFonts w:hint="default" w:ascii="Times New Roman" w:hAnsi="Times New Roman" w:cs="Times New Roman"/>
          <w:b w:val="0"/>
          <w:bCs w:val="0"/>
        </w:rPr>
        <w:t>九、一般公共预算财政拨款项目支出决算表</w:t>
      </w:r>
      <w:bookmarkEnd w:id="50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51" w:name="_Toc4817"/>
      <w:r>
        <w:rPr>
          <w:rFonts w:hint="default" w:ascii="Times New Roman" w:hAnsi="Times New Roman" w:cs="Times New Roman"/>
          <w:b w:val="0"/>
          <w:bCs w:val="0"/>
        </w:rPr>
        <w:t>十、一般公共预算财政拨款“三公”经费支出决算表</w:t>
      </w:r>
      <w:bookmarkEnd w:id="51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52" w:name="_Toc16064"/>
      <w:r>
        <w:rPr>
          <w:rFonts w:hint="default" w:ascii="Times New Roman" w:hAnsi="Times New Roman" w:cs="Times New Roman"/>
          <w:b w:val="0"/>
          <w:bCs w:val="0"/>
        </w:rPr>
        <w:t>十一、政府性基金预算财政拨款收入支出决算表</w:t>
      </w:r>
      <w:bookmarkEnd w:id="52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cs="Times New Roman"/>
          <w:b w:val="0"/>
          <w:bCs w:val="0"/>
        </w:rPr>
      </w:pPr>
      <w:bookmarkStart w:id="53" w:name="_Toc30363"/>
      <w:r>
        <w:rPr>
          <w:rFonts w:hint="default" w:ascii="Times New Roman" w:hAnsi="Times New Roman" w:cs="Times New Roman"/>
          <w:b w:val="0"/>
          <w:bCs w:val="0"/>
        </w:rPr>
        <w:t>十二、政府性基金预算财政拨款“三公”经费支出决算表</w:t>
      </w:r>
      <w:bookmarkEnd w:id="53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/>
          <w:b w:val="0"/>
          <w:bCs w:val="0"/>
        </w:rPr>
      </w:pPr>
      <w:bookmarkStart w:id="54" w:name="_Toc24712"/>
      <w:r>
        <w:rPr>
          <w:rFonts w:hint="default"/>
          <w:b w:val="0"/>
          <w:bCs w:val="0"/>
        </w:rPr>
        <w:t>十三、国有资本经营预算财政拨款收入支出决算表</w:t>
      </w:r>
      <w:bookmarkEnd w:id="54"/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default"/>
          <w:b w:val="0"/>
          <w:bCs w:val="0"/>
        </w:rPr>
      </w:pPr>
      <w:bookmarkStart w:id="55" w:name="_Toc24825"/>
      <w:r>
        <w:rPr>
          <w:rFonts w:hint="default"/>
          <w:b w:val="0"/>
          <w:bCs w:val="0"/>
        </w:rPr>
        <w:t>十</w:t>
      </w:r>
      <w:r>
        <w:rPr>
          <w:rFonts w:hint="eastAsia"/>
          <w:b w:val="0"/>
          <w:bCs w:val="0"/>
          <w:lang w:eastAsia="zh-CN"/>
        </w:rPr>
        <w:t>四</w:t>
      </w:r>
      <w:r>
        <w:rPr>
          <w:rFonts w:hint="default"/>
          <w:b w:val="0"/>
          <w:bCs w:val="0"/>
        </w:rPr>
        <w:t>、国有资本经营预算支出决算表</w:t>
      </w:r>
      <w:bookmarkEnd w:id="55"/>
    </w:p>
    <w:sectPr>
      <w:footerReference r:id="rId9" w:type="default"/>
      <w:pgSz w:w="11906" w:h="16839"/>
      <w:pgMar w:top="2098" w:right="1474" w:bottom="1984" w:left="1587" w:header="0" w:footer="1342" w:gutter="0"/>
      <w:pgNumType w:fmt="decimal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9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position w:val="-4"/>
        <w:sz w:val="28"/>
        <w:szCs w:val="28"/>
      </w:rPr>
      <w:t xml:space="preserve"> </w:t>
    </w:r>
  </w:p>
  <w:p>
    <w:pPr>
      <w:spacing w:line="196" w:lineRule="exact"/>
      <w:ind w:firstLine="7904"/>
      <w:rPr>
        <w:rFonts w:ascii="宋体" w:hAnsi="宋体" w:eastAsia="宋体" w:cs="宋体"/>
        <w:spacing w:val="-8"/>
        <w:position w:val="-4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90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3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ind w:firstLine="771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exac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A4713"/>
    <w:multiLevelType w:val="singleLevel"/>
    <w:tmpl w:val="25BA471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30"/>
    <w:rsid w:val="00091849"/>
    <w:rsid w:val="00184FA0"/>
    <w:rsid w:val="005777E3"/>
    <w:rsid w:val="00591AB3"/>
    <w:rsid w:val="007C4E88"/>
    <w:rsid w:val="00A50D30"/>
    <w:rsid w:val="00F87BE6"/>
    <w:rsid w:val="00FA3332"/>
    <w:rsid w:val="02AE5282"/>
    <w:rsid w:val="055457BD"/>
    <w:rsid w:val="09023AB5"/>
    <w:rsid w:val="1655372E"/>
    <w:rsid w:val="17AF2C50"/>
    <w:rsid w:val="186F7E5E"/>
    <w:rsid w:val="1B1A5635"/>
    <w:rsid w:val="1D6B3633"/>
    <w:rsid w:val="22426B69"/>
    <w:rsid w:val="22BD256D"/>
    <w:rsid w:val="26D83284"/>
    <w:rsid w:val="2A5F4EC0"/>
    <w:rsid w:val="2CA5703C"/>
    <w:rsid w:val="32AF2765"/>
    <w:rsid w:val="3AE70A23"/>
    <w:rsid w:val="3B94425F"/>
    <w:rsid w:val="3C226AC6"/>
    <w:rsid w:val="40521CC9"/>
    <w:rsid w:val="439F647E"/>
    <w:rsid w:val="45305A3B"/>
    <w:rsid w:val="51C045E2"/>
    <w:rsid w:val="5CE04A63"/>
    <w:rsid w:val="5E6E5E79"/>
    <w:rsid w:val="6A862B6C"/>
    <w:rsid w:val="6F8F6A59"/>
    <w:rsid w:val="70800FA7"/>
    <w:rsid w:val="71DA4FDE"/>
    <w:rsid w:val="73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Times New Roman" w:eastAsiaTheme="minorEastAsia"/>
      <w:snapToGrid w:val="0"/>
      <w:color w:val="000000"/>
      <w:sz w:val="30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chart" Target="charts/chart7.xml"/><Relationship Id="rId16" Type="http://schemas.openxmlformats.org/officeDocument/2006/relationships/chart" Target="charts/chart6.xml"/><Relationship Id="rId15" Type="http://schemas.openxmlformats.org/officeDocument/2006/relationships/chart" Target="charts/chart5.xml"/><Relationship Id="rId14" Type="http://schemas.openxmlformats.org/officeDocument/2006/relationships/chart" Target="charts/chart4.xml"/><Relationship Id="rId13" Type="http://schemas.openxmlformats.org/officeDocument/2006/relationships/chart" Target="charts/chart3.xml"/><Relationship Id="rId12" Type="http://schemas.openxmlformats.org/officeDocument/2006/relationships/chart" Target="charts/chart2.xml"/><Relationship Id="rId11" Type="http://schemas.openxmlformats.org/officeDocument/2006/relationships/chart" Target="charts/chart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4.xml"/><Relationship Id="rId3" Type="http://schemas.microsoft.com/office/2011/relationships/chartStyle" Target="style4.xml"/><Relationship Id="rId2" Type="http://schemas.openxmlformats.org/officeDocument/2006/relationships/themeOverride" Target="../theme/themeOverride2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6.xml"/><Relationship Id="rId2" Type="http://schemas.microsoft.com/office/2011/relationships/chartStyle" Target="style6.xml"/><Relationship Id="rId1" Type="http://schemas.openxmlformats.org/officeDocument/2006/relationships/oleObject" Target="&#24037;&#20316;&#31807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图一：收支决算总计变动情况图（单位：万元）</a:t>
            </a:r>
          </a:p>
        </c:rich>
      </c:tx>
      <c:layout>
        <c:manualLayout>
          <c:xMode val="edge"/>
          <c:yMode val="edge"/>
          <c:x val="0.2075"/>
          <c:y val="0.020857473928157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4825.31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4369.99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[工作簿1]Sheet1!$A$1:$B$1</c:f>
              <c:strCache>
                <c:ptCount val="2"/>
                <c:pt idx="0">
                  <c:v>2019年收支决算总计</c:v>
                </c:pt>
                <c:pt idx="1">
                  <c:v>2020年收支决算总计</c:v>
                </c:pt>
              </c:strCache>
            </c:strRef>
          </c:cat>
          <c:val>
            <c:numRef>
              <c:f>[工作簿1]Sheet1!$A$2:$B$2</c:f>
              <c:numCache>
                <c:formatCode>General</c:formatCode>
                <c:ptCount val="2"/>
                <c:pt idx="0">
                  <c:v>4825.311851</c:v>
                </c:pt>
                <c:pt idx="1">
                  <c:v>4369.997155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74218676"/>
        <c:axId val="470025113"/>
      </c:barChart>
      <c:catAx>
        <c:axId val="7742186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0025113"/>
        <c:crosses val="autoZero"/>
        <c:auto val="1"/>
        <c:lblAlgn val="ctr"/>
        <c:lblOffset val="100"/>
        <c:noMultiLvlLbl val="0"/>
      </c:catAx>
      <c:valAx>
        <c:axId val="47002511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42186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图二：收入决算结构图（单位：万元）</a:t>
            </a:r>
          </a:p>
        </c:rich>
      </c:tx>
      <c:layout>
        <c:manualLayout>
          <c:xMode val="edge"/>
          <c:yMode val="edge"/>
          <c:x val="0.200712589073635"/>
          <c:y val="0.022408963585434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explosion val="26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dLbl>
              <c:idx val="0"/>
              <c:layout>
                <c:manualLayout>
                  <c:x val="0.209199285158535"/>
                  <c:y val="-0.17463863432343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680078584888456"/>
                  <c:y val="-0.03323097058841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66659551588089"/>
                  <c:y val="-0.018490550077413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gradFill>
                <a:gsLst>
                  <a:gs pos="19000">
                    <a:srgbClr val="FFB9B9"/>
                  </a:gs>
                  <a:gs pos="64000">
                    <a:srgbClr val="FF8F8E"/>
                  </a:gs>
                  <a:gs pos="44000">
                    <a:srgbClr val="FE9E9F"/>
                  </a:gs>
                  <a:gs pos="84000">
                    <a:srgbClr val="FF7373"/>
                  </a:gs>
                </a:gsLst>
                <a:lin ang="5400000" scaled="1"/>
              </a:gra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[工作簿1]Sheet1!$A$1:$C$1</c:f>
              <c:strCache>
                <c:ptCount val="3"/>
                <c:pt idx="0">
                  <c:v>一般公共预算收入</c:v>
                </c:pt>
                <c:pt idx="1">
                  <c:v>事业收入</c:v>
                </c:pt>
                <c:pt idx="2">
                  <c:v>其他收入</c:v>
                </c:pt>
              </c:strCache>
            </c:strRef>
          </c:cat>
          <c:val>
            <c:numRef>
              <c:f>[工作簿1]Sheet1!$A$2:$C$2</c:f>
              <c:numCache>
                <c:formatCode>General</c:formatCode>
                <c:ptCount val="3"/>
                <c:pt idx="0">
                  <c:v>3796.91</c:v>
                </c:pt>
                <c:pt idx="1">
                  <c:v>482.08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40" b="1" i="0" u="none" strike="noStrike" kern="1200" spc="0" baseline="0">
                <a:solidFill>
                  <a:schemeClr val="tx1">
                    <a:lumMod val="85000"/>
                    <a:lumOff val="1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图三：支出决算结构图（单位：万元）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340797566774114"/>
          <c:y val="0.269529718879942"/>
          <c:w val="0.948156003299163"/>
          <c:h val="0.592022008253095"/>
        </c:manualLayout>
      </c:layout>
      <c:ofPieChart>
        <c:ofPieType val="pie"/>
        <c:varyColors val="1"/>
        <c:ser>
          <c:idx val="0"/>
          <c:order val="0"/>
          <c:spPr>
            <a:noFill/>
            <a:ln w="19050">
              <a:solidFill>
                <a:srgbClr val="0489AD"/>
              </a:solidFill>
              <a:prstDash val="dash"/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0"/>
          <c:dPt>
            <c:idx val="0"/>
            <c:bubble3D val="0"/>
            <c:spPr>
              <a:noFill/>
              <a:ln w="19050">
                <a:solidFill>
                  <a:srgbClr val="E54D17"/>
                </a:solidFill>
                <a:prstDash val="dash"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spPr>
              <a:noFill/>
              <a:ln w="19050">
                <a:solidFill>
                  <a:srgbClr val="EC8700"/>
                </a:solidFill>
                <a:prstDash val="dash"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spPr>
              <a:noFill/>
              <a:ln w="19050">
                <a:solidFill>
                  <a:srgbClr val="FE807F"/>
                </a:solidFill>
                <a:prstDash val="dash"/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[工作簿1]Sheet1!$A$1:$B$1</c:f>
              <c:strCache>
                <c:ptCount val="2"/>
                <c:pt idx="0">
                  <c:v>基本支出</c:v>
                </c:pt>
                <c:pt idx="1">
                  <c:v>项目支出</c:v>
                </c:pt>
              </c:strCache>
            </c:strRef>
          </c:cat>
          <c:val>
            <c:numRef>
              <c:f>[工作簿1]Sheet1!$A$2:$B$2</c:f>
              <c:numCache>
                <c:formatCode>General</c:formatCode>
                <c:ptCount val="2"/>
                <c:pt idx="0">
                  <c:v>4239.69</c:v>
                </c:pt>
                <c:pt idx="1">
                  <c:v>130.3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65000"/>
                  <a:lumOff val="35000"/>
                </a:schemeClr>
              </a:solidFill>
              <a:prstDash val="sysDash"/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85000"/>
                  <a:lumOff val="1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pattFill prst="dotGrid">
      <a:fgClr>
        <a:schemeClr val="bg1">
          <a:lumMod val="95000"/>
        </a:schemeClr>
      </a:fgClr>
      <a:bgClr>
        <a:schemeClr val="bg1"/>
      </a:bgClr>
    </a:patt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85000"/>
              <a:lumOff val="1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图四：财政拨款收、支决算总计变动情况表（单位：万元）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641725991573"/>
          <c:y val="0.262529576252958"/>
          <c:w val="0.861601046055499"/>
          <c:h val="0.633448053344805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rgbClr val="73A9AB"/>
            </a:solidFill>
            <a:ln w="12700">
              <a:solidFill>
                <a:schemeClr val="bg1"/>
              </a:solidFill>
            </a:ln>
            <a:effectLst/>
          </c:spPr>
          <c:invertIfNegative val="0"/>
          <c:dLbls>
            <c:delete val="1"/>
          </c:dLbls>
          <c:cat>
            <c:strRef>
              <c:f>[工作簿1]Sheet1!$A$1:$B$1</c:f>
              <c:strCache>
                <c:ptCount val="2"/>
                <c:pt idx="0">
                  <c:v>2019年财政拨款收入</c:v>
                </c:pt>
                <c:pt idx="1">
                  <c:v>2020年财政拨款收入</c:v>
                </c:pt>
              </c:strCache>
            </c:strRef>
          </c:cat>
          <c:val>
            <c:numRef>
              <c:f>[工作簿1]Sheet1!$A$2:$B$2</c:f>
              <c:numCache>
                <c:formatCode>General</c:formatCode>
                <c:ptCount val="2"/>
                <c:pt idx="0">
                  <c:v>4352.23</c:v>
                </c:pt>
                <c:pt idx="1">
                  <c:v>3887.91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2"/>
        <c:overlap val="100"/>
        <c:axId val="225941875"/>
        <c:axId val="952589171"/>
      </c:barChart>
      <c:catAx>
        <c:axId val="22594187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5875" cap="flat" cmpd="sng" algn="ctr">
            <a:solidFill>
              <a:srgbClr val="73A9AB"/>
            </a:solidFill>
            <a:round/>
            <a:headEnd type="oval"/>
            <a:tailEnd type="oval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952589171"/>
        <c:crosses val="autoZero"/>
        <c:auto val="1"/>
        <c:lblAlgn val="ctr"/>
        <c:lblOffset val="100"/>
        <c:noMultiLvlLbl val="0"/>
      </c:catAx>
      <c:valAx>
        <c:axId val="952589171"/>
        <c:scaling>
          <c:orientation val="minMax"/>
        </c:scaling>
        <c:delete val="0"/>
        <c:axPos val="l"/>
        <c:minorGridlines>
          <c:spPr>
            <a:ln w="317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5875">
            <a:noFill/>
            <a:headEnd type="none"/>
            <a:tailEnd type="none"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2259418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alpha val="0"/>
      </a:schemeClr>
    </a:solidFill>
    <a:ln w="15875" cap="flat" cmpd="sng" algn="ctr">
      <a:solidFill>
        <a:schemeClr val="bg1">
          <a:lumMod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08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080"/>
              <a:t>图五：一般公共预算财政拨款支出决算变动情况（单位：万元）</a:t>
            </a:r>
            <a:endParaRPr sz="1080"/>
          </a:p>
        </c:rich>
      </c:tx>
      <c:layout>
        <c:manualLayout>
          <c:xMode val="edge"/>
          <c:yMode val="edge"/>
          <c:x val="0.109612488878329"/>
          <c:y val="0.075137948265744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00129725793801"/>
          <c:y val="0.229504272904477"/>
          <c:w val="0.861601046055499"/>
          <c:h val="0.633448053344805"/>
        </c:manualLayout>
      </c:layout>
      <c:bar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lt1"/>
                    </a:solidFill>
                    <a:latin typeface="+mn-ea"/>
                    <a:ea typeface="+mn-ea"/>
                    <a:cs typeface="+mn-ea"/>
                    <a:sym typeface="+mn-ea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[工作簿1]Sheet1!$A$1:$B$1</c:f>
              <c:strCache>
                <c:ptCount val="2"/>
                <c:pt idx="0">
                  <c:v>2019年</c:v>
                </c:pt>
                <c:pt idx="1">
                  <c:v>2020年</c:v>
                </c:pt>
              </c:strCache>
            </c:strRef>
          </c:cat>
          <c:val>
            <c:numRef>
              <c:f>[工作簿1]Sheet1!$A$2:$B$2</c:f>
              <c:numCache>
                <c:formatCode>General</c:formatCode>
                <c:ptCount val="2"/>
                <c:pt idx="0">
                  <c:v>4352.23</c:v>
                </c:pt>
                <c:pt idx="1">
                  <c:v>3887.91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225941875"/>
        <c:axId val="952589171"/>
      </c:barChart>
      <c:catAx>
        <c:axId val="2259418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2589171"/>
        <c:crosses val="autoZero"/>
        <c:auto val="1"/>
        <c:lblAlgn val="ctr"/>
        <c:lblOffset val="100"/>
        <c:noMultiLvlLbl val="0"/>
      </c:catAx>
      <c:valAx>
        <c:axId val="95258917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259418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图六：一般公共预算财政拨款支出决算结构</a:t>
            </a:r>
          </a:p>
          <a:p>
            <a:pPr defTabSz="914400">
              <a:defRPr lang="zh-CN"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rich>
      </c:tx>
      <c:layout>
        <c:manualLayout>
          <c:xMode val="edge"/>
          <c:yMode val="edge"/>
          <c:x val="0.15496300689032"/>
          <c:y val="0.0182094057211401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dLbl>
              <c:idx val="1"/>
              <c:layout>
                <c:manualLayout>
                  <c:x val="0.0607593726360821"/>
                  <c:y val="0.058529193780344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23338809104256"/>
                  <c:y val="-0.069067417531131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277611609522271"/>
                  <c:y val="-0.11409238299219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[工作簿1]Sheet1!$A$1:$E$1</c:f>
              <c:strCache>
                <c:ptCount val="5"/>
                <c:pt idx="0">
                  <c:v>教育支出</c:v>
                </c:pt>
                <c:pt idx="1">
                  <c:v>社会保障和就业支出</c:v>
                </c:pt>
                <c:pt idx="2">
                  <c:v>卫生健康 支出 </c:v>
                </c:pt>
                <c:pt idx="3">
                  <c:v>其他支出</c:v>
                </c:pt>
                <c:pt idx="4">
                  <c:v>住房保障支出</c:v>
                </c:pt>
              </c:strCache>
            </c:strRef>
          </c:cat>
          <c:val>
            <c:numRef>
              <c:f>[工作簿1]Sheet1!$A$2:$E$2</c:f>
              <c:numCache>
                <c:formatCode>General</c:formatCode>
                <c:ptCount val="5"/>
                <c:pt idx="0">
                  <c:v>3109.36</c:v>
                </c:pt>
                <c:pt idx="1">
                  <c:v>361.78</c:v>
                </c:pt>
                <c:pt idx="2">
                  <c:v>154.82</c:v>
                </c:pt>
                <c:pt idx="3">
                  <c:v>0.5</c:v>
                </c:pt>
                <c:pt idx="4">
                  <c:v>261.44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4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40"/>
              <a:t>图七：“三公”经费财政拨款支出结构</a:t>
            </a:r>
            <a:endParaRPr sz="1440"/>
          </a:p>
        </c:rich>
      </c:tx>
      <c:layout>
        <c:manualLayout>
          <c:xMode val="edge"/>
          <c:yMode val="edge"/>
          <c:x val="0.222784318551812"/>
          <c:y val="0.035889174227986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explosion val="39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2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[工作簿1]Sheet1!$A$6:$C$6</c:f>
              <c:strCache>
                <c:ptCount val="3"/>
                <c:pt idx="0">
                  <c:v>公务车购置及运行维护费</c:v>
                </c:pt>
                <c:pt idx="1">
                  <c:v>公务接待费</c:v>
                </c:pt>
                <c:pt idx="2">
                  <c:v>因公出国费</c:v>
                </c:pt>
              </c:strCache>
            </c:strRef>
          </c:cat>
          <c:val>
            <c:numRef>
              <c:f>[工作簿1]Sheet1!$A$7:$C$7</c:f>
              <c:numCache>
                <c:formatCode>General</c:formatCode>
                <c:ptCount val="3"/>
                <c:pt idx="0">
                  <c:v>4.1</c:v>
                </c:pt>
                <c:pt idx="1">
                  <c:v>1.83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200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DF26E-A226-4252-8246-80E274294A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1231</Words>
  <Characters>7021</Characters>
  <Lines>58</Lines>
  <Paragraphs>16</Paragraphs>
  <TotalTime>5</TotalTime>
  <ScaleCrop>false</ScaleCrop>
  <LinksUpToDate>false</LinksUpToDate>
  <CharactersWithSpaces>8236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2021-10-27T06:43:00Z</dcterms:created>
  <dc:creator>Administrator</dc:creator>
  <cp:lastModifiedBy>正好</cp:lastModifiedBy>
  <dcterms:modified xsi:type="dcterms:W3CDTF">2021-10-28T13:15:57Z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2C74EB630D4149458BB1DD2661586B7E</vt:lpwstr>
  </property>
</Properties>
</file>