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1" w:name="_Toc15377425"/>
      <w:bookmarkStart w:id="2" w:name="_Toc15378441"/>
      <w:bookmarkStart w:id="3" w:name="_Toc15396475"/>
      <w:bookmarkStart w:id="4" w:name="_Toc15396597"/>
      <w:bookmarkStart w:id="5" w:name="_Toc15377193"/>
      <w:r>
        <w:rPr>
          <w:rFonts w:ascii="黑体" w:hAnsi="黑体" w:eastAsia="黑体"/>
          <w:color w:val="000000"/>
          <w:sz w:val="72"/>
          <w:szCs w:val="72"/>
        </w:rPr>
        <w:t>20</w:t>
      </w:r>
      <w:r>
        <w:rPr>
          <w:rFonts w:hint="eastAsia" w:ascii="黑体" w:hAnsi="黑体" w:eastAsia="黑体"/>
          <w:color w:val="000000"/>
          <w:sz w:val="72"/>
          <w:szCs w:val="72"/>
          <w:lang w:val="en-US" w:eastAsia="zh-CN"/>
        </w:rPr>
        <w:t>20</w:t>
      </w: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</w:p>
    <w:bookmarkEnd w:id="0"/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6" w:name="_Toc15377194"/>
      <w:bookmarkStart w:id="7" w:name="_Toc15306268"/>
      <w:bookmarkStart w:id="8" w:name="_Toc15378442"/>
      <w:bookmarkStart w:id="9" w:name="_Toc15377426"/>
      <w:bookmarkStart w:id="10" w:name="_Toc15396598"/>
      <w:bookmarkStart w:id="11" w:name="_Toc15396476"/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四川省达州市开江县</w:t>
      </w:r>
      <w:r>
        <w:rPr>
          <w:rFonts w:hint="eastAsia" w:ascii="方正小标宋简体" w:hAnsi="宋体" w:eastAsia="方正小标宋简体"/>
          <w:color w:val="000000"/>
          <w:sz w:val="72"/>
          <w:szCs w:val="72"/>
          <w:lang w:val="en-US" w:eastAsia="zh-CN"/>
        </w:rPr>
        <w:t>示范幼儿园</w:t>
      </w: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部门决算</w:t>
      </w:r>
      <w:bookmarkEnd w:id="6"/>
      <w:bookmarkEnd w:id="7"/>
      <w:bookmarkEnd w:id="8"/>
      <w:bookmarkEnd w:id="9"/>
      <w:bookmarkEnd w:id="10"/>
      <w:bookmarkEnd w:id="11"/>
    </w:p>
    <w:p>
      <w:pPr>
        <w:widowControl/>
        <w:jc w:val="center"/>
        <w:rPr>
          <w:rFonts w:ascii="黑体" w:hAnsi="黑体" w:eastAsia="黑体"/>
          <w:color w:val="000000"/>
          <w:sz w:val="48"/>
          <w:szCs w:val="48"/>
        </w:rPr>
      </w:pPr>
      <w:r>
        <w:rPr>
          <w:rFonts w:ascii="方正小标宋简体" w:hAnsi="宋体" w:eastAsia="方正小标宋简体"/>
          <w:color w:val="000000"/>
          <w:sz w:val="36"/>
          <w:szCs w:val="36"/>
        </w:rPr>
        <w:br w:type="page"/>
      </w:r>
      <w:r>
        <w:rPr>
          <w:rFonts w:hint="eastAsia" w:ascii="黑体" w:hAnsi="黑体" w:eastAsia="黑体"/>
          <w:color w:val="000000"/>
          <w:sz w:val="48"/>
          <w:szCs w:val="48"/>
        </w:rPr>
        <w:t>目录</w:t>
      </w:r>
    </w:p>
    <w:p>
      <w:pPr>
        <w:widowControl/>
        <w:jc w:val="center"/>
        <w:rPr>
          <w:rFonts w:ascii="黑体" w:hAnsi="黑体" w:eastAsia="黑体" w:cstheme="minorBidi"/>
          <w:sz w:val="28"/>
          <w:szCs w:val="28"/>
        </w:rPr>
      </w:pPr>
      <w:r>
        <w:rPr>
          <w:rFonts w:ascii="黑体" w:hAnsi="黑体" w:eastAsia="黑体"/>
          <w:color w:val="000000"/>
          <w:sz w:val="48"/>
          <w:szCs w:val="48"/>
        </w:rPr>
        <w:fldChar w:fldCharType="begin"/>
      </w:r>
      <w:r>
        <w:rPr>
          <w:rFonts w:ascii="黑体" w:hAnsi="黑体" w:eastAsia="黑体"/>
          <w:color w:val="000000"/>
          <w:sz w:val="48"/>
          <w:szCs w:val="48"/>
        </w:rPr>
        <w:instrText xml:space="preserve"> TOC \o "1-2" \h \z \u </w:instrText>
      </w:r>
      <w:r>
        <w:rPr>
          <w:rFonts w:ascii="黑体" w:hAnsi="黑体" w:eastAsia="黑体"/>
          <w:color w:val="000000"/>
          <w:sz w:val="48"/>
          <w:szCs w:val="48"/>
        </w:rPr>
        <w:fldChar w:fldCharType="separate"/>
      </w:r>
    </w:p>
    <w:p>
      <w:pPr>
        <w:pStyle w:val="10"/>
      </w:pPr>
      <w:r>
        <w:rPr>
          <w:rFonts w:hint="eastAsia"/>
        </w:rPr>
        <w:t>公开时间：20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</w:p>
    <w:p/>
    <w:p>
      <w:pPr>
        <w:pStyle w:val="10"/>
        <w:rPr>
          <w:rFonts w:cstheme="minorBidi"/>
        </w:rPr>
      </w:pPr>
      <w:r>
        <w:fldChar w:fldCharType="begin"/>
      </w:r>
      <w:r>
        <w:instrText xml:space="preserve"> HYPERLINK \l "_Toc15396599" </w:instrText>
      </w:r>
      <w:r>
        <w:fldChar w:fldCharType="separate"/>
      </w:r>
      <w:r>
        <w:rPr>
          <w:rStyle w:val="15"/>
          <w:rFonts w:hint="eastAsia"/>
        </w:rPr>
        <w:t>第一部分</w:t>
      </w:r>
      <w:r>
        <w:rPr>
          <w:rStyle w:val="15"/>
        </w:rPr>
        <w:t xml:space="preserve"> </w:t>
      </w:r>
      <w:r>
        <w:rPr>
          <w:rStyle w:val="15"/>
          <w:rFonts w:hint="eastAsia"/>
        </w:rPr>
        <w:t>部门概况</w:t>
      </w:r>
      <w:r>
        <w:tab/>
      </w:r>
      <w:r>
        <w:rPr>
          <w:rFonts w:hint="eastAsia"/>
        </w:rPr>
        <w:t>4</w:t>
      </w:r>
      <w:r>
        <w:rPr>
          <w:rFonts w:hint="eastAsia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"_Toc15396600"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一、基本职能及主要工作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"_Toc15396601"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二、机构设置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_Toc15396601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0"/>
      </w:pPr>
      <w:r>
        <w:fldChar w:fldCharType="begin"/>
      </w:r>
      <w:r>
        <w:instrText xml:space="preserve"> HYPERLINK \l "_Toc15396602" </w:instrText>
      </w:r>
      <w:r>
        <w:fldChar w:fldCharType="separate"/>
      </w:r>
      <w:r>
        <w:rPr>
          <w:rStyle w:val="15"/>
          <w:rFonts w:hint="eastAsia"/>
        </w:rPr>
        <w:t>第二部分</w:t>
      </w:r>
      <w:r>
        <w:rPr>
          <w:rStyle w:val="15"/>
        </w:rPr>
        <w:t xml:space="preserve"> </w:t>
      </w:r>
      <w:r>
        <w:rPr>
          <w:rStyle w:val="15"/>
          <w:rFonts w:hint="eastAsia"/>
          <w:lang w:val="en-US" w:eastAsia="zh-CN"/>
        </w:rPr>
        <w:t>2020</w:t>
      </w:r>
      <w:r>
        <w:rPr>
          <w:rStyle w:val="15"/>
          <w:rFonts w:hint="eastAsia"/>
        </w:rPr>
        <w:t>年度部门决算情况说明</w:t>
      </w:r>
      <w:r>
        <w:tab/>
      </w:r>
      <w:r>
        <w:fldChar w:fldCharType="begin"/>
      </w:r>
      <w:r>
        <w:instrText xml:space="preserve"> PAGEREF _Toc15396602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"_Toc15396603" </w:instrText>
      </w:r>
      <w:r>
        <w:fldChar w:fldCharType="separate"/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一、</w:t>
      </w:r>
      <w:r>
        <w:rPr>
          <w:rStyle w:val="15"/>
          <w:rFonts w:hint="eastAsia" w:ascii="仿宋" w:hAnsi="仿宋" w:eastAsia="仿宋"/>
          <w:sz w:val="28"/>
          <w:szCs w:val="28"/>
        </w:rPr>
        <w:t>收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入支出决算总体情况说明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_Toc15396603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"_Toc15396604" </w:instrText>
      </w:r>
      <w:r>
        <w:fldChar w:fldCharType="separate"/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二、</w:t>
      </w:r>
      <w:r>
        <w:rPr>
          <w:rStyle w:val="15"/>
          <w:rFonts w:hint="eastAsia" w:ascii="仿宋" w:hAnsi="仿宋" w:eastAsia="仿宋"/>
          <w:sz w:val="28"/>
          <w:szCs w:val="28"/>
        </w:rPr>
        <w:t>收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入决算情况说明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_Toc15396604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"_Toc15396605" </w:instrText>
      </w:r>
      <w:r>
        <w:fldChar w:fldCharType="separate"/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三、</w:t>
      </w:r>
      <w:r>
        <w:rPr>
          <w:rStyle w:val="15"/>
          <w:rFonts w:hint="eastAsia" w:ascii="仿宋" w:hAnsi="仿宋" w:eastAsia="仿宋"/>
          <w:sz w:val="28"/>
          <w:szCs w:val="28"/>
        </w:rPr>
        <w:t>支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_Toc15396605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"_Toc15396606"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四、财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政拨款收入支出决算总体情况说明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_Toc15396606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"_Toc15396607"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五、一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般公共预算财政拨款支出决算情况说明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_Toc15396607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"_Toc15396608"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六、一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般公共预算财政拨款基本支出决算情况说明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_Toc15396608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"_Toc15396609"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七、</w:t>
      </w:r>
      <w:r>
        <w:rPr>
          <w:rStyle w:val="15"/>
          <w:rFonts w:ascii="仿宋" w:hAnsi="仿宋" w:eastAsia="仿宋"/>
          <w:sz w:val="28"/>
          <w:szCs w:val="28"/>
        </w:rPr>
        <w:t>“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三公”经费财政拨款支出决算情况说明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_Toc15396609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"_Toc15396610"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八、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政府性基金预算支出决算情况说明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_Toc15396610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"_Toc15396611" </w:instrText>
      </w:r>
      <w:r>
        <w:fldChar w:fldCharType="separate"/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九、</w:t>
      </w:r>
      <w:r>
        <w:rPr>
          <w:rStyle w:val="15"/>
          <w:rFonts w:hint="eastAsia" w:ascii="仿宋" w:hAnsi="仿宋" w:eastAsia="仿宋"/>
          <w:sz w:val="28"/>
          <w:szCs w:val="28"/>
        </w:rPr>
        <w:t xml:space="preserve"> 国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有资本经营预算支出决算情况说明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_Toc15396611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"_Toc15396612"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十</w:t>
      </w:r>
      <w:r>
        <w:rPr>
          <w:rStyle w:val="15"/>
          <w:rFonts w:hint="eastAsia" w:ascii="仿宋" w:hAnsi="仿宋" w:eastAsia="仿宋" w:cstheme="majorBidi"/>
          <w:bCs/>
          <w:sz w:val="28"/>
          <w:szCs w:val="28"/>
        </w:rPr>
        <w:t>一、其他重要事项的情况说明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_Toc15396612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0"/>
        <w:rPr>
          <w:rFonts w:cstheme="minorBidi"/>
        </w:rPr>
      </w:pPr>
      <w:r>
        <w:fldChar w:fldCharType="begin"/>
      </w:r>
      <w:r>
        <w:instrText xml:space="preserve"> HYPERLINK \l "_Toc15396613" </w:instrText>
      </w:r>
      <w:r>
        <w:fldChar w:fldCharType="separate"/>
      </w:r>
      <w:r>
        <w:rPr>
          <w:rStyle w:val="15"/>
          <w:rFonts w:hint="eastAsia"/>
          <w:bCs/>
          <w:kern w:val="44"/>
        </w:rPr>
        <w:t>第三部分</w:t>
      </w:r>
      <w:r>
        <w:rPr>
          <w:rStyle w:val="15"/>
          <w:rFonts w:hint="eastAsia"/>
        </w:rPr>
        <w:t xml:space="preserve"> 名</w:t>
      </w:r>
      <w:r>
        <w:rPr>
          <w:rStyle w:val="15"/>
          <w:rFonts w:hint="eastAsia"/>
          <w:bCs/>
          <w:kern w:val="44"/>
        </w:rPr>
        <w:t>词解释</w:t>
      </w:r>
      <w:r>
        <w:tab/>
      </w:r>
      <w:r>
        <w:fldChar w:fldCharType="begin"/>
      </w:r>
      <w:r>
        <w:instrText xml:space="preserve"> PAGEREF _Toc15396613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0"/>
        <w:rPr>
          <w:rFonts w:cstheme="minorBidi"/>
        </w:rPr>
      </w:pPr>
      <w:r>
        <w:fldChar w:fldCharType="begin"/>
      </w:r>
      <w:r>
        <w:instrText xml:space="preserve"> HYPERLINK \l "_Toc15396614" </w:instrText>
      </w:r>
      <w:r>
        <w:fldChar w:fldCharType="separate"/>
      </w:r>
      <w:r>
        <w:rPr>
          <w:rStyle w:val="15"/>
          <w:rFonts w:hint="eastAsia"/>
        </w:rPr>
        <w:t>第</w:t>
      </w:r>
      <w:r>
        <w:rPr>
          <w:rStyle w:val="15"/>
          <w:rFonts w:hint="eastAsia"/>
          <w:bCs/>
          <w:kern w:val="44"/>
        </w:rPr>
        <w:t>四部分</w:t>
      </w:r>
      <w:r>
        <w:rPr>
          <w:rStyle w:val="15"/>
          <w:bCs/>
          <w:kern w:val="44"/>
        </w:rPr>
        <w:t xml:space="preserve"> </w:t>
      </w:r>
      <w:r>
        <w:rPr>
          <w:rStyle w:val="15"/>
          <w:rFonts w:hint="eastAsia"/>
          <w:bCs/>
          <w:kern w:val="44"/>
        </w:rPr>
        <w:t>附件</w:t>
      </w:r>
      <w:r>
        <w:tab/>
      </w:r>
      <w:r>
        <w:fldChar w:fldCharType="begin"/>
      </w:r>
      <w:r>
        <w:instrText xml:space="preserve"> PAGEREF _Toc15396614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"_Toc15396615" </w:instrText>
      </w:r>
      <w:r>
        <w:fldChar w:fldCharType="separate"/>
      </w:r>
      <w:r>
        <w:rPr>
          <w:rStyle w:val="15"/>
          <w:rFonts w:hint="eastAsia" w:ascii="仿宋" w:hAnsi="仿宋" w:eastAsia="仿宋"/>
          <w:kern w:val="44"/>
          <w:sz w:val="28"/>
          <w:szCs w:val="28"/>
        </w:rPr>
        <w:t>附件</w:t>
      </w:r>
      <w:r>
        <w:rPr>
          <w:rStyle w:val="15"/>
          <w:rFonts w:ascii="仿宋" w:hAnsi="仿宋" w:eastAsia="仿宋"/>
          <w:kern w:val="44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_Toc15396615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16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fldChar w:fldCharType="begin"/>
      </w:r>
      <w:r>
        <w:instrText xml:space="preserve"> HYPERLINK \l "_Toc15396617" </w:instrText>
      </w:r>
      <w:r>
        <w:fldChar w:fldCharType="separate"/>
      </w:r>
      <w:r>
        <w:rPr>
          <w:rStyle w:val="15"/>
          <w:rFonts w:hint="eastAsia" w:ascii="仿宋" w:hAnsi="仿宋" w:eastAsia="仿宋"/>
          <w:kern w:val="44"/>
          <w:sz w:val="28"/>
          <w:szCs w:val="28"/>
        </w:rPr>
        <w:t>附件</w:t>
      </w:r>
      <w:r>
        <w:rPr>
          <w:rStyle w:val="15"/>
          <w:rFonts w:ascii="仿宋" w:hAnsi="仿宋" w:eastAsia="仿宋"/>
          <w:kern w:val="44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_Toc15396617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18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0"/>
        <w:rPr>
          <w:rFonts w:cstheme="minorBidi"/>
        </w:rPr>
      </w:pPr>
      <w:r>
        <w:fldChar w:fldCharType="begin"/>
      </w:r>
      <w:r>
        <w:instrText xml:space="preserve"> HYPERLINK \l "_Toc15396618" </w:instrText>
      </w:r>
      <w:r>
        <w:fldChar w:fldCharType="separate"/>
      </w:r>
      <w:r>
        <w:rPr>
          <w:rStyle w:val="15"/>
          <w:rFonts w:hint="eastAsia"/>
        </w:rPr>
        <w:t>第</w:t>
      </w:r>
      <w:r>
        <w:rPr>
          <w:rStyle w:val="15"/>
          <w:rFonts w:hint="eastAsia"/>
          <w:bCs/>
          <w:kern w:val="44"/>
        </w:rPr>
        <w:t>五部分</w:t>
      </w:r>
      <w:r>
        <w:rPr>
          <w:rStyle w:val="15"/>
          <w:bCs/>
          <w:kern w:val="44"/>
        </w:rPr>
        <w:t xml:space="preserve"> </w:t>
      </w:r>
      <w:r>
        <w:rPr>
          <w:rStyle w:val="15"/>
          <w:rFonts w:hint="eastAsia"/>
          <w:bCs/>
          <w:kern w:val="44"/>
        </w:rPr>
        <w:t>附表</w:t>
      </w:r>
      <w:r>
        <w:tab/>
      </w:r>
      <w:r>
        <w:fldChar w:fldCharType="begin"/>
      </w:r>
      <w:r>
        <w:instrText xml:space="preserve"> PAGEREF _Toc15396618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fldChar w:fldCharType="begin"/>
      </w:r>
      <w:r>
        <w:instrText xml:space="preserve"> HYPERLINK \l "_Toc15396619"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收入支出决算总表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_Toc15396619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fldChar w:fldCharType="begin"/>
      </w:r>
      <w:r>
        <w:instrText xml:space="preserve"> HYPERLINK \l "_Toc15396620"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收入总表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_Toc15396620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fldChar w:fldCharType="begin"/>
      </w:r>
      <w:r>
        <w:instrText xml:space="preserve"> HYPERLINK \l "_Toc15396621"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支出总表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_Toc15396621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fldChar w:fldCharType="begin"/>
      </w:r>
      <w:r>
        <w:instrText xml:space="preserve"> HYPERLINK \l "_Toc15396622"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财政拨款收入支出决算总表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_Toc15396622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</w:t>
      </w:r>
      <w:r>
        <w:fldChar w:fldCharType="begin"/>
      </w:r>
      <w:r>
        <w:instrText xml:space="preserve"> HYPERLINK \l "_Toc15396623"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财政拨款支出决算明细表（政府经济分类科目）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_Toc15396623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</w:t>
      </w:r>
      <w:r>
        <w:fldChar w:fldCharType="begin"/>
      </w:r>
      <w:r>
        <w:instrText xml:space="preserve"> HYPERLINK \l "_Toc15396624"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一般公共预算财政拨款支出决算表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_Toc15396624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</w:t>
      </w:r>
      <w:r>
        <w:fldChar w:fldCharType="begin"/>
      </w:r>
      <w:r>
        <w:instrText xml:space="preserve"> HYPERLINK \l "_Toc15396625"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一般公共预算财政拨款支出决算明细表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_Toc15396625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</w:t>
      </w:r>
      <w:r>
        <w:fldChar w:fldCharType="begin"/>
      </w:r>
      <w:r>
        <w:instrText xml:space="preserve"> HYPERLINK \l "_Toc15396626"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一般公共预算财政拨款基本支出决算表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_Toc15396626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</w:t>
      </w:r>
      <w:r>
        <w:fldChar w:fldCharType="begin"/>
      </w:r>
      <w:r>
        <w:instrText xml:space="preserve"> HYPERLINK \l "_Toc15396627"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一般公共预算财政拨款项目支出决算表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_Toc15396627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</w:t>
      </w:r>
      <w:r>
        <w:fldChar w:fldCharType="begin"/>
      </w:r>
      <w:r>
        <w:instrText xml:space="preserve"> HYPERLINK \l "_Toc15396628"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一般公共预算财政拨款“三公”经费支出决算表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_Toc15396628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十一、</w:t>
      </w:r>
      <w:r>
        <w:fldChar w:fldCharType="begin"/>
      </w:r>
      <w:r>
        <w:instrText xml:space="preserve"> HYPERLINK \l "_Toc15396629"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政府性基金预算财政拨款收入支出决算表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_Toc15396629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十二、</w:t>
      </w:r>
      <w:r>
        <w:fldChar w:fldCharType="begin"/>
      </w:r>
      <w:r>
        <w:instrText xml:space="preserve"> HYPERLINK \l "_Toc15396630"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政府性基金预算财政拨款“三公”经费支出决算表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_Toc15396630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rPr>
          <w:rFonts w:ascii="仿宋" w:hAnsi="仿宋" w:eastAsia="仿宋" w:cstheme="minorBidi"/>
          <w:sz w:val="24"/>
        </w:rPr>
      </w:pPr>
      <w:r>
        <w:rPr>
          <w:rFonts w:hint="eastAsia" w:ascii="仿宋" w:hAnsi="仿宋" w:eastAsia="仿宋"/>
          <w:sz w:val="28"/>
          <w:szCs w:val="28"/>
        </w:rPr>
        <w:t>十三、</w:t>
      </w:r>
      <w:r>
        <w:fldChar w:fldCharType="begin"/>
      </w:r>
      <w:r>
        <w:instrText xml:space="preserve"> HYPERLINK \l "_Toc15396631" </w:instrText>
      </w:r>
      <w:r>
        <w:fldChar w:fldCharType="separate"/>
      </w:r>
      <w:r>
        <w:rPr>
          <w:rStyle w:val="15"/>
          <w:rFonts w:hint="eastAsia" w:ascii="仿宋" w:hAnsi="仿宋" w:eastAsia="仿宋"/>
          <w:sz w:val="28"/>
          <w:szCs w:val="28"/>
        </w:rPr>
        <w:t>国有资本经营预算支出决算表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_Toc15396631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widowControl/>
        <w:jc w:val="lef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fldChar w:fldCharType="end"/>
      </w:r>
    </w:p>
    <w:p>
      <w:pPr>
        <w:widowControl/>
        <w:jc w:val="left"/>
        <w:rPr>
          <w:rFonts w:ascii="黑体" w:hAnsi="黑体" w:eastAsia="黑体"/>
          <w:bCs/>
          <w:kern w:val="44"/>
          <w:sz w:val="44"/>
          <w:szCs w:val="44"/>
        </w:rPr>
      </w:pPr>
      <w:bookmarkStart w:id="12" w:name="_Toc15396599"/>
      <w:bookmarkStart w:id="13" w:name="_Toc15377196"/>
      <w:r>
        <w:rPr>
          <w:rFonts w:ascii="黑体" w:hAnsi="黑体" w:eastAsia="黑体"/>
          <w:b/>
        </w:rPr>
        <w:br w:type="page"/>
      </w:r>
    </w:p>
    <w:p>
      <w:pPr>
        <w:pStyle w:val="2"/>
        <w:jc w:val="center"/>
        <w:rPr>
          <w:rStyle w:val="24"/>
          <w:rFonts w:ascii="黑体" w:hAnsi="黑体" w:eastAsia="黑体"/>
          <w:b/>
          <w:bCs w:val="0"/>
        </w:rPr>
      </w:pPr>
      <w:r>
        <w:rPr>
          <w:rFonts w:hint="eastAsia" w:ascii="黑体" w:hAnsi="黑体" w:eastAsia="黑体"/>
          <w:b w:val="0"/>
        </w:rPr>
        <w:t xml:space="preserve">第一部分 </w:t>
      </w:r>
      <w:r>
        <w:rPr>
          <w:rStyle w:val="24"/>
          <w:rFonts w:hint="eastAsia" w:ascii="黑体" w:hAnsi="黑体" w:eastAsia="黑体"/>
          <w:b w:val="0"/>
          <w:bCs w:val="0"/>
        </w:rPr>
        <w:t>部门概况</w:t>
      </w:r>
      <w:bookmarkEnd w:id="12"/>
      <w:bookmarkEnd w:id="13"/>
    </w:p>
    <w:p>
      <w:pPr>
        <w:widowControl/>
        <w:jc w:val="left"/>
        <w:rPr>
          <w:rFonts w:ascii="黑体" w:eastAsia="黑体"/>
          <w:color w:val="000000"/>
          <w:sz w:val="32"/>
          <w:szCs w:val="32"/>
        </w:rPr>
      </w:pPr>
    </w:p>
    <w:p>
      <w:pPr>
        <w:pStyle w:val="3"/>
        <w:rPr>
          <w:rStyle w:val="25"/>
          <w:rFonts w:ascii="仿宋" w:hAnsi="仿宋" w:eastAsia="仿宋"/>
          <w:b w:val="0"/>
          <w:bCs w:val="0"/>
        </w:rPr>
      </w:pPr>
      <w:bookmarkStart w:id="14" w:name="_Toc15377197"/>
      <w:bookmarkStart w:id="15" w:name="_Toc15396600"/>
      <w:r>
        <w:rPr>
          <w:rFonts w:hint="eastAsia" w:ascii="黑体" w:hAnsi="黑体" w:eastAsia="黑体"/>
          <w:b w:val="0"/>
          <w:color w:val="000000"/>
        </w:rPr>
        <w:t>一、基</w:t>
      </w:r>
      <w:r>
        <w:rPr>
          <w:rStyle w:val="25"/>
          <w:rFonts w:hint="eastAsia" w:ascii="黑体" w:hAnsi="黑体" w:eastAsia="黑体"/>
          <w:b w:val="0"/>
          <w:bCs w:val="0"/>
        </w:rPr>
        <w:t>本职能及主要工作</w:t>
      </w:r>
      <w:bookmarkEnd w:id="14"/>
      <w:bookmarkEnd w:id="15"/>
    </w:p>
    <w:p>
      <w:pPr>
        <w:pStyle w:val="5"/>
        <w:adjustRightInd w:val="0"/>
        <w:snapToGrid w:val="0"/>
        <w:spacing w:before="93" w:line="600" w:lineRule="exact"/>
        <w:ind w:firstLine="672" w:firstLineChars="210"/>
        <w:outlineLvl w:val="2"/>
        <w:rPr>
          <w:rFonts w:ascii="仿宋" w:hAnsi="仿宋" w:eastAsia="仿宋"/>
          <w:bCs/>
          <w:color w:val="000000"/>
          <w:sz w:val="32"/>
          <w:szCs w:val="32"/>
        </w:rPr>
      </w:pPr>
      <w:bookmarkStart w:id="16" w:name="_Toc15377198"/>
      <w:bookmarkStart w:id="17" w:name="_Toc15378445"/>
      <w:r>
        <w:rPr>
          <w:rFonts w:hint="eastAsia" w:ascii="仿宋" w:hAnsi="仿宋" w:eastAsia="仿宋"/>
          <w:bCs/>
          <w:color w:val="000000"/>
          <w:sz w:val="32"/>
          <w:szCs w:val="32"/>
        </w:rPr>
        <w:t>（一）主要职能</w:t>
      </w:r>
    </w:p>
    <w:bookmarkEnd w:id="16"/>
    <w:bookmarkEnd w:id="17"/>
    <w:p>
      <w:pPr>
        <w:pStyle w:val="5"/>
        <w:adjustRightInd w:val="0"/>
        <w:snapToGrid w:val="0"/>
        <w:spacing w:before="93" w:line="600" w:lineRule="exact"/>
        <w:ind w:firstLine="672" w:firstLineChars="210"/>
        <w:outlineLvl w:val="2"/>
        <w:rPr>
          <w:rFonts w:hint="eastAsia" w:ascii="仿宋" w:hAnsi="仿宋" w:eastAsia="仿宋"/>
          <w:bCs/>
          <w:color w:val="000000"/>
          <w:sz w:val="32"/>
          <w:szCs w:val="32"/>
        </w:rPr>
      </w:pPr>
      <w:bookmarkStart w:id="18" w:name="_Toc15377199"/>
      <w:bookmarkStart w:id="19" w:name="_Toc15378446"/>
      <w:r>
        <w:rPr>
          <w:rFonts w:hint="eastAsia" w:ascii="仿宋" w:hAnsi="仿宋" w:eastAsia="仿宋"/>
          <w:bCs/>
          <w:color w:val="000000"/>
          <w:sz w:val="32"/>
          <w:szCs w:val="32"/>
        </w:rPr>
        <w:t>开江县示范幼儿园是一所坐落于开江县新宁镇</w:t>
      </w:r>
      <w:r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  <w:t>门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池街90号，占地面积9.5亩，建筑面积6327平方米的公办省级示范幼儿园。</w:t>
      </w:r>
      <w:r>
        <w:rPr>
          <w:rFonts w:hint="eastAsia" w:ascii="仿宋_GB2312" w:hAnsi="Calibri" w:eastAsia="仿宋_GB2312"/>
          <w:sz w:val="30"/>
          <w:szCs w:val="30"/>
        </w:rPr>
        <w:t>为辖区内3-6周岁幼儿提供优质早期教育。秉持“让孩子有一颗感恩的心，呵护大自然，玩中学，乐中学，培养孩子良好行为习惯和开发孩子的智力，在运动中增强体质“的办园理念</w:t>
      </w:r>
      <w:r>
        <w:rPr>
          <w:rFonts w:hint="eastAsia" w:hAnsi="Calibri"/>
          <w:sz w:val="30"/>
          <w:szCs w:val="30"/>
          <w:lang w:eastAsia="zh-CN"/>
        </w:rPr>
        <w:t>，</w:t>
      </w:r>
      <w:r>
        <w:rPr>
          <w:rFonts w:hint="eastAsia" w:ascii="仿宋_GB2312" w:hAnsi="Calibri" w:eastAsia="仿宋_GB2312"/>
          <w:sz w:val="30"/>
          <w:szCs w:val="30"/>
        </w:rPr>
        <w:t>开展幼儿园教育教学活动。承担全县幼儿教育示范引领作用，防止幼儿园教育小学化。</w:t>
      </w:r>
    </w:p>
    <w:p>
      <w:pPr>
        <w:pStyle w:val="5"/>
        <w:adjustRightInd w:val="0"/>
        <w:snapToGrid w:val="0"/>
        <w:spacing w:before="93" w:line="600" w:lineRule="exact"/>
        <w:ind w:firstLine="672" w:firstLineChars="210"/>
        <w:outlineLvl w:val="2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（二）</w:t>
      </w:r>
      <w:r>
        <w:rPr>
          <w:rFonts w:ascii="仿宋" w:hAnsi="仿宋" w:eastAsia="仿宋"/>
          <w:bCs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年重点工作完成情况</w:t>
      </w:r>
      <w:bookmarkEnd w:id="18"/>
      <w:bookmarkEnd w:id="19"/>
    </w:p>
    <w:p>
      <w:pPr>
        <w:pStyle w:val="5"/>
        <w:adjustRightInd w:val="0"/>
        <w:snapToGrid w:val="0"/>
        <w:spacing w:before="93" w:line="600" w:lineRule="exact"/>
        <w:ind w:firstLine="672" w:firstLineChars="210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  <w:lang w:eastAsia="zh-CN"/>
        </w:rPr>
        <w:t>幼儿园</w:t>
      </w:r>
      <w:r>
        <w:rPr>
          <w:rFonts w:hint="eastAsia"/>
          <w:bCs/>
          <w:color w:val="000000"/>
          <w:sz w:val="32"/>
          <w:szCs w:val="32"/>
        </w:rPr>
        <w:t>全面贯彻党的教育方针政策，加强教师队伍建设，加强党的建设，加强</w:t>
      </w:r>
      <w:r>
        <w:rPr>
          <w:rFonts w:hint="eastAsia"/>
          <w:bCs/>
          <w:color w:val="000000"/>
          <w:sz w:val="32"/>
          <w:szCs w:val="32"/>
          <w:lang w:eastAsia="zh-CN"/>
        </w:rPr>
        <w:t>幼儿</w:t>
      </w:r>
      <w:r>
        <w:rPr>
          <w:rFonts w:hint="eastAsia"/>
          <w:bCs/>
          <w:color w:val="000000"/>
          <w:sz w:val="32"/>
          <w:szCs w:val="32"/>
        </w:rPr>
        <w:t>教育</w:t>
      </w:r>
      <w:r>
        <w:rPr>
          <w:rFonts w:hint="eastAsia"/>
          <w:bCs/>
          <w:color w:val="000000"/>
          <w:sz w:val="32"/>
          <w:szCs w:val="32"/>
          <w:lang w:eastAsia="zh-CN"/>
        </w:rPr>
        <w:t>规范</w:t>
      </w:r>
      <w:r>
        <w:rPr>
          <w:rFonts w:hint="eastAsia"/>
          <w:bCs/>
          <w:color w:val="000000"/>
          <w:sz w:val="32"/>
          <w:szCs w:val="32"/>
        </w:rPr>
        <w:t>发展建设，提升</w:t>
      </w:r>
      <w:r>
        <w:rPr>
          <w:rFonts w:hint="eastAsia"/>
          <w:bCs/>
          <w:color w:val="000000"/>
          <w:sz w:val="32"/>
          <w:szCs w:val="32"/>
          <w:lang w:eastAsia="zh-CN"/>
        </w:rPr>
        <w:t>保</w:t>
      </w:r>
      <w:r>
        <w:rPr>
          <w:rFonts w:hint="eastAsia"/>
          <w:bCs/>
          <w:color w:val="000000"/>
          <w:sz w:val="32"/>
          <w:szCs w:val="32"/>
        </w:rPr>
        <w:t>教质量，办人民满意</w:t>
      </w:r>
      <w:r>
        <w:rPr>
          <w:rFonts w:hint="eastAsia"/>
          <w:bCs/>
          <w:color w:val="000000"/>
          <w:sz w:val="32"/>
          <w:szCs w:val="32"/>
          <w:lang w:eastAsia="zh-CN"/>
        </w:rPr>
        <w:t>的幼儿</w:t>
      </w:r>
      <w:r>
        <w:rPr>
          <w:rFonts w:hint="eastAsia"/>
          <w:bCs/>
          <w:color w:val="000000"/>
          <w:sz w:val="32"/>
          <w:szCs w:val="32"/>
        </w:rPr>
        <w:t>教育。</w:t>
      </w:r>
    </w:p>
    <w:p>
      <w:pPr>
        <w:pStyle w:val="3"/>
        <w:rPr>
          <w:rStyle w:val="25"/>
          <w:b w:val="0"/>
          <w:bCs w:val="0"/>
        </w:rPr>
      </w:pPr>
      <w:bookmarkStart w:id="20" w:name="_Toc15377200"/>
      <w:bookmarkStart w:id="21" w:name="_Toc15396601"/>
      <w:r>
        <w:rPr>
          <w:rFonts w:hint="eastAsia" w:ascii="黑体" w:eastAsia="黑体"/>
          <w:b w:val="0"/>
          <w:color w:val="000000"/>
        </w:rPr>
        <w:t>二、</w:t>
      </w:r>
      <w:r>
        <w:rPr>
          <w:rFonts w:hint="eastAsia" w:ascii="黑体" w:hAnsi="黑体" w:eastAsia="黑体"/>
          <w:b w:val="0"/>
          <w:color w:val="000000"/>
        </w:rPr>
        <w:t>机</w:t>
      </w:r>
      <w:r>
        <w:rPr>
          <w:rStyle w:val="25"/>
          <w:rFonts w:hint="eastAsia" w:ascii="黑体" w:hAnsi="黑体" w:eastAsia="黑体"/>
          <w:b w:val="0"/>
          <w:bCs w:val="0"/>
        </w:rPr>
        <w:t>构设置</w:t>
      </w:r>
      <w:bookmarkEnd w:id="20"/>
      <w:bookmarkEnd w:id="21"/>
    </w:p>
    <w:p>
      <w:pPr>
        <w:pStyle w:val="5"/>
        <w:adjustRightInd w:val="0"/>
        <w:snapToGrid w:val="0"/>
        <w:spacing w:before="93" w:line="600" w:lineRule="exact"/>
        <w:ind w:firstLine="672" w:firstLineChars="210"/>
        <w:rPr>
          <w:rFonts w:hint="default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开江县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示范幼儿园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具有独立编制和独立核算的机构1个。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教学班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个，学生数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508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人，教职工编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制数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，实有教职工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45人。</w:t>
      </w:r>
    </w:p>
    <w:p>
      <w:pPr>
        <w:widowControl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ind w:right="440"/>
        <w:jc w:val="right"/>
        <w:rPr>
          <w:rStyle w:val="24"/>
          <w:rFonts w:ascii="黑体" w:hAnsi="黑体" w:eastAsia="黑体"/>
          <w:b w:val="0"/>
          <w:bCs w:val="0"/>
        </w:rPr>
      </w:pPr>
      <w:bookmarkStart w:id="22" w:name="_Toc15377204"/>
      <w:bookmarkStart w:id="23" w:name="_Toc15396602"/>
      <w:r>
        <w:rPr>
          <w:rFonts w:hint="eastAsia" w:ascii="黑体" w:hAnsi="黑体" w:eastAsia="黑体"/>
          <w:b w:val="0"/>
          <w:color w:val="000000"/>
        </w:rPr>
        <w:t>第二部分</w:t>
      </w:r>
      <w:r>
        <w:rPr>
          <w:rFonts w:hint="eastAsia" w:ascii="黑体" w:hAnsi="黑体" w:eastAsia="黑体"/>
          <w:color w:val="000000"/>
        </w:rPr>
        <w:t xml:space="preserve"> </w:t>
      </w:r>
      <w:r>
        <w:rPr>
          <w:rStyle w:val="24"/>
          <w:rFonts w:hint="eastAsia" w:ascii="黑体" w:hAnsi="黑体" w:eastAsia="黑体"/>
          <w:b w:val="0"/>
          <w:bCs w:val="0"/>
        </w:rPr>
        <w:t>20</w:t>
      </w:r>
      <w:r>
        <w:rPr>
          <w:rStyle w:val="24"/>
          <w:rFonts w:hint="eastAsia" w:ascii="黑体" w:hAnsi="黑体" w:eastAsia="黑体"/>
          <w:b w:val="0"/>
          <w:bCs w:val="0"/>
          <w:lang w:val="en-US" w:eastAsia="zh-CN"/>
        </w:rPr>
        <w:t>20</w:t>
      </w:r>
      <w:r>
        <w:rPr>
          <w:rStyle w:val="24"/>
          <w:rFonts w:hint="eastAsia" w:ascii="黑体" w:hAnsi="黑体" w:eastAsia="黑体"/>
          <w:b w:val="0"/>
          <w:bCs w:val="0"/>
        </w:rPr>
        <w:t>年度部门决算情况说明</w:t>
      </w:r>
      <w:bookmarkEnd w:id="22"/>
      <w:bookmarkEnd w:id="23"/>
    </w:p>
    <w:p/>
    <w:p>
      <w:pPr>
        <w:pStyle w:val="23"/>
        <w:numPr>
          <w:ilvl w:val="0"/>
          <w:numId w:val="1"/>
        </w:numPr>
        <w:spacing w:line="600" w:lineRule="exact"/>
        <w:ind w:firstLineChars="0"/>
        <w:outlineLvl w:val="1"/>
        <w:rPr>
          <w:rStyle w:val="25"/>
          <w:rFonts w:ascii="黑体" w:hAnsi="黑体" w:eastAsia="黑体"/>
          <w:b w:val="0"/>
        </w:rPr>
      </w:pPr>
      <w:bookmarkStart w:id="24" w:name="_Toc15396603"/>
      <w:bookmarkStart w:id="25" w:name="_Toc15377205"/>
      <w:r>
        <w:rPr>
          <w:rFonts w:hint="eastAsia" w:ascii="黑体" w:hAnsi="黑体" w:eastAsia="黑体"/>
          <w:color w:val="000000"/>
          <w:sz w:val="32"/>
          <w:szCs w:val="32"/>
        </w:rPr>
        <w:t>收</w:t>
      </w:r>
      <w:r>
        <w:rPr>
          <w:rStyle w:val="25"/>
          <w:rFonts w:hint="eastAsia" w:ascii="黑体" w:hAnsi="黑体" w:eastAsia="黑体"/>
          <w:b w:val="0"/>
        </w:rPr>
        <w:t>入支出决算总体情况说明</w:t>
      </w:r>
      <w:bookmarkEnd w:id="24"/>
      <w:bookmarkEnd w:id="25"/>
    </w:p>
    <w:p>
      <w:pPr>
        <w:pStyle w:val="23"/>
        <w:numPr>
          <w:ilvl w:val="0"/>
          <w:numId w:val="0"/>
        </w:numPr>
        <w:spacing w:line="600" w:lineRule="exact"/>
        <w:ind w:left="640" w:leftChars="0"/>
        <w:outlineLvl w:val="1"/>
        <w:rPr>
          <w:rStyle w:val="25"/>
          <w:rFonts w:ascii="黑体" w:hAnsi="黑体" w:eastAsia="黑体"/>
          <w:b w:val="0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年度收、支总计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639.93</w:t>
      </w:r>
      <w:r>
        <w:rPr>
          <w:rFonts w:hint="eastAsia" w:ascii="仿宋" w:hAnsi="仿宋" w:eastAsia="仿宋"/>
          <w:color w:val="000000"/>
          <w:sz w:val="32"/>
          <w:szCs w:val="32"/>
        </w:rPr>
        <w:t>万元。与201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年相比，收、支总计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66.52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9.4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主要变动原因是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项目资金减少。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（图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：收、支决算总计变动情况图）（柱状图）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2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252095</wp:posOffset>
            </wp:positionV>
            <wp:extent cx="5080000" cy="3295650"/>
            <wp:effectExtent l="4445" t="4445" r="20955" b="14605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3"/>
        <w:numPr>
          <w:ilvl w:val="0"/>
          <w:numId w:val="1"/>
        </w:numPr>
        <w:spacing w:line="600" w:lineRule="exact"/>
        <w:ind w:firstLineChars="0"/>
        <w:outlineLvl w:val="1"/>
        <w:rPr>
          <w:rStyle w:val="25"/>
          <w:rFonts w:ascii="黑体" w:hAnsi="黑体" w:eastAsia="黑体"/>
          <w:b w:val="0"/>
        </w:rPr>
      </w:pPr>
      <w:bookmarkStart w:id="26" w:name="_Toc15396604"/>
      <w:bookmarkStart w:id="27" w:name="_Toc15377206"/>
      <w:r>
        <w:rPr>
          <w:rFonts w:hint="eastAsia" w:ascii="黑体" w:hAnsi="黑体" w:eastAsia="黑体"/>
          <w:color w:val="000000"/>
          <w:sz w:val="32"/>
          <w:szCs w:val="32"/>
        </w:rPr>
        <w:t>收</w:t>
      </w:r>
      <w:r>
        <w:rPr>
          <w:rStyle w:val="25"/>
          <w:rFonts w:hint="eastAsia" w:ascii="黑体" w:hAnsi="黑体" w:eastAsia="黑体"/>
          <w:b w:val="0"/>
        </w:rPr>
        <w:t>入决算情况说明</w:t>
      </w:r>
      <w:bookmarkEnd w:id="26"/>
      <w:bookmarkEnd w:id="27"/>
    </w:p>
    <w:p>
      <w:pPr>
        <w:spacing w:line="600" w:lineRule="exact"/>
        <w:ind w:firstLine="640" w:firstLineChars="200"/>
        <w:outlineLvl w:val="1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年本年收入合计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639.93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万元，其中：一般公共预算财政拨款收入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639.93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；政府性基金预算财政拨款收入0万元，占0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；国有资本经营预算财政拨款收入0万元，占0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；事业收入0万元，占0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；经营收入0万元，占0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；附属单位上缴收入0万元，占0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；其他收入0万元，占0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（图2：收入决算结构图）（饼状图）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pict>
          <v:shape id="_x0000_s1029" o:spid="_x0000_s1029" o:spt="75" type="#_x0000_t75" style="position:absolute;left:0pt;margin-left:-17.25pt;margin-top:18.65pt;height:262pt;width:449.4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</v:shape>
          <o:OLEObject Type="Embed" ProgID="Excel.Sheet.8" ShapeID="_x0000_s1029" DrawAspect="Content" ObjectID="_1468075725" r:id="rId11">
            <o:LockedField>false</o:LockedField>
          </o:OLEObject>
        </w:pict>
      </w: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23"/>
        <w:numPr>
          <w:ilvl w:val="0"/>
          <w:numId w:val="1"/>
        </w:numPr>
        <w:spacing w:line="600" w:lineRule="exact"/>
        <w:ind w:firstLineChars="0"/>
        <w:outlineLvl w:val="1"/>
        <w:rPr>
          <w:rStyle w:val="25"/>
          <w:rFonts w:ascii="黑体" w:hAnsi="黑体" w:eastAsia="黑体"/>
          <w:b w:val="0"/>
        </w:rPr>
      </w:pPr>
      <w:bookmarkStart w:id="28" w:name="_Toc15396605"/>
      <w:bookmarkStart w:id="29" w:name="_Toc15377207"/>
      <w:r>
        <w:rPr>
          <w:rFonts w:hint="eastAsia" w:ascii="黑体" w:hAnsi="黑体" w:eastAsia="黑体"/>
          <w:color w:val="000000"/>
          <w:sz w:val="32"/>
          <w:szCs w:val="32"/>
        </w:rPr>
        <w:t>支</w:t>
      </w:r>
      <w:r>
        <w:rPr>
          <w:rStyle w:val="25"/>
          <w:rFonts w:hint="eastAsia" w:ascii="黑体" w:hAnsi="黑体" w:eastAsia="黑体"/>
          <w:b w:val="0"/>
        </w:rPr>
        <w:t>出决算情况说明</w:t>
      </w:r>
      <w:bookmarkEnd w:id="28"/>
      <w:bookmarkEnd w:id="29"/>
    </w:p>
    <w:p>
      <w:pPr>
        <w:pStyle w:val="23"/>
        <w:numPr>
          <w:ilvl w:val="0"/>
          <w:numId w:val="0"/>
        </w:numPr>
        <w:spacing w:line="600" w:lineRule="exact"/>
        <w:ind w:left="640" w:leftChars="0"/>
        <w:outlineLvl w:val="1"/>
        <w:rPr>
          <w:rStyle w:val="25"/>
          <w:rFonts w:ascii="黑体" w:hAnsi="黑体" w:eastAsia="黑体"/>
          <w:b w:val="0"/>
        </w:rPr>
      </w:pP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年本年支出合计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639.93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639.93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；项目支出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（图3：支出决算结构图）（饼状图）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2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23495</wp:posOffset>
            </wp:positionV>
            <wp:extent cx="5080000" cy="2686685"/>
            <wp:effectExtent l="4445" t="4445" r="20955" b="13970"/>
            <wp:wrapNone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  <w:bookmarkStart w:id="30" w:name="_Toc15377208"/>
      <w:bookmarkStart w:id="31" w:name="_Toc15396606"/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left="1360" w:leftChars="0" w:hanging="720" w:firstLineChars="0"/>
        <w:outlineLvl w:val="1"/>
        <w:rPr>
          <w:rStyle w:val="25"/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财</w:t>
      </w:r>
      <w:r>
        <w:rPr>
          <w:rStyle w:val="25"/>
          <w:rFonts w:hint="eastAsia" w:ascii="黑体" w:hAnsi="黑体" w:eastAsia="黑体"/>
          <w:b w:val="0"/>
        </w:rPr>
        <w:t>政拨款收入支出决算总体情况说明</w:t>
      </w:r>
      <w:bookmarkEnd w:id="30"/>
      <w:bookmarkEnd w:id="31"/>
    </w:p>
    <w:p>
      <w:pPr>
        <w:numPr>
          <w:ilvl w:val="0"/>
          <w:numId w:val="0"/>
        </w:numPr>
        <w:spacing w:line="600" w:lineRule="exact"/>
        <w:ind w:left="640" w:leftChars="0"/>
        <w:outlineLvl w:val="1"/>
        <w:rPr>
          <w:rStyle w:val="25"/>
          <w:rFonts w:hint="eastAsia" w:ascii="黑体" w:hAnsi="黑体" w:eastAsia="黑体"/>
          <w:b w:val="0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年财政拨款收、支总计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639.93</w:t>
      </w:r>
      <w:r>
        <w:rPr>
          <w:rFonts w:hint="eastAsia" w:ascii="仿宋" w:hAnsi="仿宋" w:eastAsia="仿宋"/>
          <w:color w:val="000000"/>
          <w:sz w:val="32"/>
          <w:szCs w:val="32"/>
        </w:rPr>
        <w:t>万元。与</w:t>
      </w:r>
      <w:r>
        <w:rPr>
          <w:rFonts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年相比，财政拨款收、支总计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66.52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9.4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主要变动原因是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项目资金减少。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（图4：财政拨款收、支决算总计变动情况）（柱状图）</w:t>
      </w:r>
    </w:p>
    <w:p>
      <w:pPr>
        <w:spacing w:line="600" w:lineRule="exact"/>
        <w:ind w:firstLine="42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60960</wp:posOffset>
            </wp:positionV>
            <wp:extent cx="5080000" cy="3296285"/>
            <wp:effectExtent l="4445" t="4445" r="20955" b="13970"/>
            <wp:wrapNone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  <w:bookmarkStart w:id="32" w:name="_Toc15377209"/>
      <w:bookmarkStart w:id="33" w:name="_Toc15396607"/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outlineLvl w:val="1"/>
        <w:rPr>
          <w:rStyle w:val="25"/>
          <w:rFonts w:ascii="黑体" w:hAnsi="黑体" w:eastAsia="黑体"/>
          <w:b w:val="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一</w:t>
      </w:r>
      <w:r>
        <w:rPr>
          <w:rStyle w:val="25"/>
          <w:rFonts w:hint="eastAsia" w:ascii="黑体" w:hAnsi="黑体" w:eastAsia="黑体"/>
          <w:b w:val="0"/>
        </w:rPr>
        <w:t>般公共预算财政拨款支出决算情况说明</w:t>
      </w:r>
      <w:bookmarkEnd w:id="32"/>
      <w:bookmarkEnd w:id="33"/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34" w:name="_Toc15377210"/>
      <w:r>
        <w:rPr>
          <w:rFonts w:hint="eastAsia" w:ascii="仿宋" w:hAnsi="仿宋" w:eastAsia="仿宋"/>
          <w:b/>
          <w:color w:val="000000"/>
          <w:sz w:val="32"/>
          <w:szCs w:val="32"/>
        </w:rPr>
        <w:t>（一）一般公共预算财政拨款支出决算总体情况</w:t>
      </w:r>
      <w:bookmarkEnd w:id="34"/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年度收、支总计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639.93</w:t>
      </w:r>
      <w:r>
        <w:rPr>
          <w:rFonts w:hint="eastAsia" w:ascii="仿宋" w:hAnsi="仿宋" w:eastAsia="仿宋"/>
          <w:color w:val="000000"/>
          <w:sz w:val="32"/>
          <w:szCs w:val="32"/>
        </w:rPr>
        <w:t>万元。与201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年相比，收、支总计各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66.52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9.4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主要变动原因是</w:t>
      </w:r>
      <w:r>
        <w:rPr>
          <w:rFonts w:hint="eastAsia" w:ascii="仿宋" w:hAnsi="仿宋" w:eastAsia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（图5：一般公共预算财政拨款支出决算变动情况）（柱状图）</w:t>
      </w:r>
    </w:p>
    <w:p>
      <w:pPr>
        <w:spacing w:line="600" w:lineRule="exact"/>
        <w:ind w:firstLine="42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50800</wp:posOffset>
            </wp:positionV>
            <wp:extent cx="5080000" cy="2973070"/>
            <wp:effectExtent l="4445" t="4445" r="20955" b="13335"/>
            <wp:wrapNone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35" w:name="_Toc15377211"/>
      <w:r>
        <w:rPr>
          <w:rFonts w:hint="eastAsia" w:ascii="仿宋" w:hAnsi="仿宋" w:eastAsia="仿宋"/>
          <w:b/>
          <w:color w:val="000000"/>
          <w:sz w:val="32"/>
          <w:szCs w:val="32"/>
        </w:rPr>
        <w:t>（二）一般公共预算财政拨款支出决算结构情况</w:t>
      </w:r>
      <w:bookmarkEnd w:id="35"/>
    </w:p>
    <w:p>
      <w:pPr>
        <w:spacing w:line="600" w:lineRule="exact"/>
        <w:ind w:firstLine="64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年一般公共预算财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政拨款支出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639.93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万元，主要用于以下方面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教育支出（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536.93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83.9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（其中：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社会保障和就业（类）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83.39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15.5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；住房保障支出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商品服务类经费支出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42.9万元，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6.7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其他对家庭和个人的补助及退休生活费支出0.1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，资本性支出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59.99万元，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9.4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</w:p>
    <w:p>
      <w:pPr>
        <w:spacing w:line="60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（图6：一般公共预算财政拨款支出决算结构）（饼状图）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42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55245</wp:posOffset>
            </wp:positionV>
            <wp:extent cx="5080000" cy="2903855"/>
            <wp:effectExtent l="6350" t="6350" r="19050" b="23495"/>
            <wp:wrapNone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36" w:name="_Toc15377212"/>
      <w:r>
        <w:rPr>
          <w:rFonts w:hint="eastAsia" w:ascii="仿宋" w:hAnsi="仿宋" w:eastAsia="仿宋"/>
          <w:b/>
          <w:color w:val="000000"/>
          <w:sz w:val="32"/>
          <w:szCs w:val="32"/>
        </w:rPr>
        <w:t>（三）一般公共预算财政拨款支出决算具体情况</w:t>
      </w:r>
      <w:bookmarkEnd w:id="36"/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color w:val="FF0000"/>
          <w:sz w:val="32"/>
          <w:szCs w:val="32"/>
        </w:rPr>
      </w:pPr>
      <w:bookmarkStart w:id="37" w:name="_Toc15377213"/>
      <w:bookmarkStart w:id="38" w:name="_Toc15377444"/>
      <w:bookmarkStart w:id="39" w:name="_Toc15378460"/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年般公共预算支出决算数为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639.93万元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14"/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Style w:val="14"/>
          <w:rFonts w:hint="eastAsia" w:ascii="仿宋" w:hAnsi="仿宋" w:eastAsia="仿宋"/>
          <w:bCs/>
          <w:color w:val="000000"/>
          <w:sz w:val="32"/>
          <w:szCs w:val="32"/>
        </w:rPr>
        <w:t>预算100</w:t>
      </w:r>
      <w:r>
        <w:rPr>
          <w:rStyle w:val="14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14"/>
          <w:rFonts w:hint="eastAsia" w:ascii="仿宋" w:hAnsi="仿宋" w:eastAsia="仿宋"/>
          <w:bCs/>
          <w:color w:val="000000"/>
          <w:sz w:val="32"/>
          <w:szCs w:val="32"/>
        </w:rPr>
        <w:t>。其中：</w:t>
      </w:r>
      <w:bookmarkEnd w:id="37"/>
      <w:bookmarkEnd w:id="38"/>
      <w:bookmarkEnd w:id="39"/>
    </w:p>
    <w:p>
      <w:pPr>
        <w:numPr>
          <w:ilvl w:val="0"/>
          <w:numId w:val="2"/>
        </w:numPr>
        <w:spacing w:line="600" w:lineRule="exact"/>
        <w:ind w:left="-10" w:leftChars="0" w:firstLine="640" w:firstLineChars="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0" w:name="_Toc15377214"/>
      <w:bookmarkStart w:id="41" w:name="_Toc15396608"/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教育支出（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536.93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83.9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（其中：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社会保障和就业（类）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83.39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15.5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；住房保障支出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2"/>
        </w:numPr>
        <w:spacing w:line="600" w:lineRule="exact"/>
        <w:ind w:left="-10" w:leftChars="0" w:firstLine="640" w:firstLineChars="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商品服务类经费支出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42.9万元，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6.7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numPr>
          <w:ilvl w:val="0"/>
          <w:numId w:val="2"/>
        </w:numPr>
        <w:spacing w:line="600" w:lineRule="exact"/>
        <w:ind w:left="-10" w:leftChars="0" w:firstLine="640" w:firstLineChars="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其他对家庭和个人的补助及退休生活费支出0.1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2"/>
        </w:numPr>
        <w:spacing w:line="600" w:lineRule="exact"/>
        <w:ind w:left="-10" w:leftChars="0" w:firstLine="640" w:firstLineChars="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资本性支出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59.99万元，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9.4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tabs>
          <w:tab w:val="right" w:pos="8306"/>
        </w:tabs>
        <w:spacing w:line="600" w:lineRule="exact"/>
        <w:ind w:firstLine="640"/>
        <w:outlineLvl w:val="1"/>
        <w:rPr>
          <w:rStyle w:val="25"/>
        </w:rPr>
      </w:pPr>
      <w:r>
        <w:rPr>
          <w:rFonts w:hint="eastAsia" w:ascii="黑体" w:eastAsia="黑体"/>
          <w:color w:val="000000"/>
          <w:sz w:val="32"/>
          <w:szCs w:val="32"/>
        </w:rPr>
        <w:t>六</w:t>
      </w:r>
      <w:r>
        <w:rPr>
          <w:rFonts w:hint="eastAsia" w:ascii="黑体" w:eastAsia="黑体"/>
          <w:b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一</w:t>
      </w:r>
      <w:r>
        <w:rPr>
          <w:rStyle w:val="25"/>
          <w:rFonts w:hint="eastAsia" w:ascii="黑体" w:hAnsi="黑体" w:eastAsia="黑体"/>
          <w:b w:val="0"/>
        </w:rPr>
        <w:t>般公共预算财政拨款基本支出决算情况说明</w:t>
      </w:r>
      <w:bookmarkEnd w:id="40"/>
      <w:bookmarkEnd w:id="41"/>
      <w:r>
        <w:rPr>
          <w:rStyle w:val="25"/>
          <w:rFonts w:ascii="黑体" w:hAnsi="黑体" w:eastAsia="黑体"/>
          <w:b w:val="0"/>
        </w:rPr>
        <w:tab/>
      </w:r>
    </w:p>
    <w:p>
      <w:pPr>
        <w:spacing w:line="60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年一般公共预算财政拨款基本支出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639.93</w:t>
      </w:r>
      <w:r>
        <w:rPr>
          <w:rFonts w:hint="eastAsia" w:ascii="仿宋" w:hAnsi="仿宋" w:eastAsia="仿宋"/>
          <w:color w:val="000000"/>
          <w:sz w:val="32"/>
          <w:szCs w:val="32"/>
        </w:rPr>
        <w:t>万元，其中：</w:t>
      </w:r>
    </w:p>
    <w:p>
      <w:pPr>
        <w:spacing w:line="600" w:lineRule="exact"/>
        <w:ind w:firstLine="645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color w:val="000000"/>
          <w:sz w:val="32"/>
          <w:szCs w:val="32"/>
        </w:rPr>
        <w:t>人员经费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536.93</w:t>
      </w:r>
      <w:r>
        <w:rPr>
          <w:rFonts w:hint="eastAsia" w:ascii="仿宋" w:hAnsi="仿宋" w:eastAsia="仿宋"/>
          <w:color w:val="000000"/>
          <w:sz w:val="32"/>
          <w:szCs w:val="32"/>
        </w:rPr>
        <w:t>万元，主要包括：基本工资、津贴补贴、奖金、伙食补助费、绩效工资、机关事业单位基本养老保险缴费、职业年金缴费、其他社会保障缴费、其他工资福利支出、离休费、退休费、抚恤金、生活补助、医疗费、奖励金、住房公积金、提租补贴、购房补贴、其他对个人和家庭的补助支出等。</w:t>
      </w:r>
      <w:r>
        <w:rPr>
          <w:rFonts w:ascii="仿宋" w:hAnsi="仿宋" w:eastAsia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商品服务性支出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42.9</w:t>
      </w:r>
      <w:r>
        <w:rPr>
          <w:rFonts w:hint="eastAsia" w:ascii="仿宋" w:hAnsi="仿宋" w:eastAsia="仿宋"/>
          <w:color w:val="000000"/>
          <w:sz w:val="32"/>
          <w:szCs w:val="32"/>
        </w:rPr>
        <w:t>万元，主要包括：办公费、水费、电费、邮电费、物业管理费、差旅费、因公出国（境）费用、维修（护）费、租赁费、培训费、公务接待费、劳务费、工会经费、福利费、其他交通费、其他商品和服务支出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5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其他对家庭和个人的补助及退休生活费支出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0.1万元，主要包括奖励金。</w:t>
      </w:r>
    </w:p>
    <w:p>
      <w:pPr>
        <w:spacing w:line="600" w:lineRule="exact"/>
        <w:ind w:firstLine="645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资本性支出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59.99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（办公设备购置、大型修缮）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100万元，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主要包括</w:t>
      </w:r>
      <w:r>
        <w:rPr>
          <w:rFonts w:hint="eastAsia" w:ascii="仿宋" w:hAnsi="仿宋" w:eastAsia="仿宋"/>
          <w:color w:val="000000"/>
          <w:sz w:val="32"/>
          <w:szCs w:val="32"/>
        </w:rPr>
        <w:t>办公设备购置、专用设备购置、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大型修缮等。</w:t>
      </w:r>
    </w:p>
    <w:p>
      <w:pPr>
        <w:spacing w:line="600" w:lineRule="exact"/>
        <w:ind w:firstLine="640"/>
        <w:outlineLvl w:val="1"/>
        <w:rPr>
          <w:rStyle w:val="25"/>
          <w:rFonts w:ascii="黑体" w:hAnsi="黑体" w:eastAsia="黑体"/>
          <w:b w:val="0"/>
        </w:rPr>
      </w:pPr>
      <w:bookmarkStart w:id="42" w:name="_Toc15377215"/>
      <w:bookmarkStart w:id="43" w:name="_Toc15396609"/>
      <w:r>
        <w:rPr>
          <w:rFonts w:hint="eastAsia" w:ascii="黑体" w:eastAsia="黑体"/>
          <w:color w:val="000000"/>
          <w:sz w:val="32"/>
          <w:szCs w:val="32"/>
        </w:rPr>
        <w:t>七、</w:t>
      </w:r>
      <w:r>
        <w:rPr>
          <w:rStyle w:val="25"/>
          <w:rFonts w:hint="eastAsia" w:ascii="黑体" w:hAnsi="黑体" w:eastAsia="黑体"/>
        </w:rPr>
        <w:t>“</w:t>
      </w:r>
      <w:r>
        <w:rPr>
          <w:rStyle w:val="25"/>
          <w:rFonts w:hint="eastAsia" w:ascii="黑体" w:hAnsi="黑体" w:eastAsia="黑体"/>
          <w:b w:val="0"/>
        </w:rPr>
        <w:t>三公”经费财政拨款支出决算情况说明</w:t>
      </w:r>
      <w:bookmarkEnd w:id="42"/>
      <w:bookmarkEnd w:id="43"/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44" w:name="_Toc15377216"/>
      <w:r>
        <w:rPr>
          <w:rFonts w:hint="eastAsia" w:ascii="仿宋" w:hAnsi="仿宋" w:eastAsia="仿宋"/>
          <w:b/>
          <w:color w:val="000000"/>
          <w:sz w:val="32"/>
          <w:szCs w:val="32"/>
        </w:rPr>
        <w:t>（一）“三公”经费财政拨款支出决算总体情况说明</w:t>
      </w:r>
      <w:bookmarkEnd w:id="44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45" w:name="_Toc15377217"/>
      <w:r>
        <w:rPr>
          <w:rFonts w:hint="eastAsia" w:ascii="仿宋" w:hAnsi="仿宋" w:eastAsia="仿宋"/>
          <w:b/>
          <w:color w:val="000000"/>
          <w:sz w:val="32"/>
          <w:szCs w:val="32"/>
        </w:rPr>
        <w:t>（二）“三公”经费财政拨款支出决算具体情况说明</w:t>
      </w:r>
      <w:bookmarkEnd w:id="45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；公务接待费支出决算0.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（图8：“三公”经费财政拨款支出结构）（饼状图）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99060</wp:posOffset>
            </wp:positionV>
            <wp:extent cx="5080000" cy="3315335"/>
            <wp:effectExtent l="4445" t="4445" r="20955" b="13970"/>
            <wp:wrapNone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</w:t>
      </w:r>
      <w:r>
        <w:rPr>
          <w:rFonts w:ascii="仿宋_GB2312" w:eastAsia="仿宋_GB2312"/>
          <w:b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</w:rPr>
        <w:t>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14"/>
          <w:rFonts w:hint="eastAsia" w:ascii="仿宋" w:hAnsi="仿宋" w:eastAsia="仿宋"/>
          <w:b w:val="0"/>
          <w:bCs/>
          <w:color w:val="000000"/>
          <w:sz w:val="32"/>
          <w:szCs w:val="32"/>
        </w:rPr>
        <w:t>完成预算100</w:t>
      </w:r>
      <w:r>
        <w:rPr>
          <w:rStyle w:val="14"/>
          <w:rFonts w:ascii="仿宋" w:hAnsi="仿宋" w:eastAsia="仿宋"/>
          <w:b w:val="0"/>
          <w:bCs/>
          <w:color w:val="000000"/>
          <w:sz w:val="32"/>
          <w:szCs w:val="32"/>
        </w:rPr>
        <w:t>%</w:t>
      </w:r>
      <w:r>
        <w:rPr>
          <w:rStyle w:val="14"/>
          <w:rFonts w:hint="eastAsia" w:ascii="仿宋" w:hAnsi="仿宋" w:eastAsia="仿宋"/>
          <w:b w:val="0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公务接待费支出决算比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持平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主要用于执行公务、开展业务活动开支的用餐费等。国内公务接待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125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级来校指导工作、开展业务活动等工作餐支出0.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spacing w:line="600" w:lineRule="exact"/>
        <w:ind w:firstLine="640"/>
        <w:outlineLvl w:val="1"/>
        <w:rPr>
          <w:rStyle w:val="25"/>
          <w:rFonts w:ascii="黑体" w:hAnsi="黑体" w:eastAsia="黑体"/>
        </w:rPr>
      </w:pPr>
      <w:bookmarkStart w:id="46" w:name="_Toc15396610"/>
      <w:bookmarkStart w:id="47" w:name="_Toc15377218"/>
      <w:r>
        <w:rPr>
          <w:rFonts w:hint="eastAsia" w:ascii="黑体" w:eastAsia="黑体"/>
          <w:color w:val="000000"/>
          <w:sz w:val="32"/>
          <w:szCs w:val="32"/>
        </w:rPr>
        <w:t>八、</w:t>
      </w:r>
      <w:r>
        <w:rPr>
          <w:rStyle w:val="25"/>
          <w:rFonts w:hint="eastAsia" w:ascii="黑体" w:hAnsi="黑体" w:eastAsia="黑体"/>
          <w:b w:val="0"/>
        </w:rPr>
        <w:t>政府性基金预算支出决算情况说明</w:t>
      </w:r>
      <w:bookmarkEnd w:id="46"/>
      <w:bookmarkEnd w:id="47"/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年政府性基金预算拨款支出0万元。</w:t>
      </w:r>
    </w:p>
    <w:p>
      <w:pPr>
        <w:numPr>
          <w:ilvl w:val="0"/>
          <w:numId w:val="4"/>
        </w:numPr>
        <w:spacing w:line="600" w:lineRule="exact"/>
        <w:ind w:firstLine="640"/>
        <w:outlineLvl w:val="1"/>
        <w:rPr>
          <w:rStyle w:val="25"/>
          <w:rFonts w:ascii="黑体" w:hAnsi="黑体" w:eastAsia="黑体"/>
          <w:b w:val="0"/>
        </w:rPr>
      </w:pPr>
      <w:bookmarkStart w:id="48" w:name="_Toc15396611"/>
      <w:bookmarkStart w:id="49" w:name="_Toc15377219"/>
      <w:r>
        <w:rPr>
          <w:rStyle w:val="25"/>
          <w:rFonts w:hint="eastAsia" w:ascii="黑体" w:hAnsi="黑体" w:eastAsia="黑体"/>
          <w:b w:val="0"/>
        </w:rPr>
        <w:t>国有资本经营预算支出决算情况说明</w:t>
      </w:r>
      <w:bookmarkEnd w:id="48"/>
      <w:bookmarkEnd w:id="49"/>
    </w:p>
    <w:p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年国有资本经营预算拨款支出0万元。</w:t>
      </w:r>
    </w:p>
    <w:p>
      <w:pPr>
        <w:pStyle w:val="23"/>
        <w:numPr>
          <w:ilvl w:val="0"/>
          <w:numId w:val="5"/>
        </w:numPr>
        <w:spacing w:line="580" w:lineRule="exact"/>
        <w:ind w:firstLineChars="0"/>
        <w:rPr>
          <w:rStyle w:val="25"/>
          <w:rFonts w:ascii="黑体" w:hAnsi="黑体" w:eastAsia="黑体"/>
          <w:b w:val="0"/>
        </w:rPr>
      </w:pPr>
      <w:r>
        <w:rPr>
          <w:rStyle w:val="25"/>
          <w:rFonts w:hint="eastAsia" w:ascii="黑体" w:hAnsi="黑体" w:eastAsia="黑体"/>
          <w:b w:val="0"/>
        </w:rPr>
        <w:t>预算绩效情况说明</w:t>
      </w:r>
    </w:p>
    <w:p>
      <w:pPr>
        <w:numPr>
          <w:ilvl w:val="0"/>
          <w:numId w:val="6"/>
        </w:numPr>
        <w:spacing w:line="580" w:lineRule="exact"/>
        <w:ind w:firstLine="643" w:firstLineChars="200"/>
        <w:rPr>
          <w:rFonts w:ascii="仿宋" w:hAnsi="仿宋" w:eastAsia="仿宋" w:cs="楷体_GB2312"/>
          <w:b/>
          <w:bCs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预算绩效管理工作开展情况。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根据预算绩效管理要求，本部门按要求对20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年部门整体支出开展绩效自评，从评价情况来看全面完成了预算执行，达到了预期效果。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numPr>
          <w:ilvl w:val="0"/>
          <w:numId w:val="6"/>
        </w:num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项目绩效目标完成情况。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本单位20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年度项目绩效目标完成情况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6"/>
        </w:numPr>
        <w:spacing w:line="58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部门开展绩效评价结果。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本部门按要求对20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年部门整体支出绩效评价情况开展自评，《开江县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年部门整体支出绩效评价报告》见附件。</w:t>
      </w:r>
    </w:p>
    <w:p>
      <w:pPr>
        <w:spacing w:line="600" w:lineRule="exact"/>
        <w:ind w:firstLine="800" w:firstLineChars="250"/>
        <w:outlineLvl w:val="1"/>
        <w:rPr>
          <w:rStyle w:val="25"/>
          <w:rFonts w:ascii="黑体" w:hAnsi="黑体" w:eastAsia="黑体"/>
        </w:rPr>
      </w:pPr>
      <w:bookmarkStart w:id="50" w:name="_Toc15377221"/>
      <w:bookmarkStart w:id="51" w:name="_Toc15396612"/>
      <w:r>
        <w:rPr>
          <w:rFonts w:hint="eastAsia" w:ascii="黑体" w:hAnsi="黑体" w:eastAsia="黑体"/>
          <w:color w:val="000000"/>
          <w:sz w:val="32"/>
          <w:szCs w:val="32"/>
        </w:rPr>
        <w:t>十</w:t>
      </w:r>
      <w:r>
        <w:rPr>
          <w:rStyle w:val="25"/>
          <w:rFonts w:hint="eastAsia" w:ascii="黑体" w:hAnsi="黑体" w:eastAsia="黑体"/>
        </w:rPr>
        <w:t>一、</w:t>
      </w:r>
      <w:r>
        <w:rPr>
          <w:rStyle w:val="25"/>
          <w:rFonts w:hint="eastAsia" w:ascii="黑体" w:hAnsi="黑体" w:eastAsia="黑体"/>
          <w:b w:val="0"/>
        </w:rPr>
        <w:t>其他重要事项的情况说明</w:t>
      </w:r>
      <w:bookmarkEnd w:id="50"/>
      <w:bookmarkEnd w:id="51"/>
    </w:p>
    <w:p>
      <w:pPr>
        <w:spacing w:line="600" w:lineRule="exact"/>
        <w:ind w:firstLine="643" w:firstLineChars="200"/>
        <w:outlineLvl w:val="2"/>
        <w:rPr>
          <w:rFonts w:ascii="仿宋" w:hAnsi="仿宋" w:eastAsia="仿宋"/>
          <w:color w:val="000000"/>
          <w:sz w:val="32"/>
          <w:szCs w:val="32"/>
        </w:rPr>
      </w:pPr>
      <w:bookmarkStart w:id="52" w:name="_Toc15377222"/>
      <w:r>
        <w:rPr>
          <w:rFonts w:hint="eastAsia" w:ascii="仿宋" w:hAnsi="仿宋" w:eastAsia="仿宋"/>
          <w:b/>
          <w:color w:val="000000"/>
          <w:sz w:val="32"/>
          <w:szCs w:val="32"/>
        </w:rPr>
        <w:t>（一）机关运行经费支出情况</w:t>
      </w:r>
      <w:bookmarkEnd w:id="52"/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年本单位无此项支出。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53" w:name="_Toc15377223"/>
      <w:r>
        <w:rPr>
          <w:rFonts w:hint="eastAsia" w:ascii="仿宋" w:hAnsi="仿宋" w:eastAsia="仿宋"/>
          <w:b/>
          <w:color w:val="000000"/>
          <w:sz w:val="32"/>
          <w:szCs w:val="32"/>
        </w:rPr>
        <w:t>（二）政府采购支出情况</w:t>
      </w:r>
      <w:bookmarkEnd w:id="53"/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年，本</w:t>
      </w:r>
      <w:r>
        <w:rPr>
          <w:rFonts w:ascii="仿宋_GB2312" w:eastAsia="仿宋_GB2312"/>
          <w:color w:val="000000"/>
          <w:sz w:val="32"/>
          <w:szCs w:val="32"/>
        </w:rPr>
        <w:t>单位无此项支出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54" w:name="_Toc15377224"/>
      <w:r>
        <w:rPr>
          <w:rFonts w:hint="eastAsia" w:ascii="仿宋" w:hAnsi="仿宋" w:eastAsia="仿宋"/>
          <w:b/>
          <w:color w:val="000000"/>
          <w:sz w:val="32"/>
          <w:szCs w:val="32"/>
        </w:rPr>
        <w:t>（三）国有资产占有使用情况</w:t>
      </w:r>
      <w:bookmarkEnd w:id="54"/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截至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31</w:t>
      </w:r>
      <w:r>
        <w:rPr>
          <w:rFonts w:hint="eastAsia" w:ascii="仿宋_GB2312" w:eastAsia="仿宋_GB2312"/>
          <w:color w:val="000000"/>
          <w:sz w:val="32"/>
          <w:szCs w:val="32"/>
        </w:rPr>
        <w:t>日，本单位无国有资产占有使用情况。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55" w:name="_Toc15396613"/>
      <w:bookmarkStart w:id="56" w:name="_Toc15377225"/>
    </w:p>
    <w:p>
      <w:pPr>
        <w:autoSpaceDE w:val="0"/>
        <w:autoSpaceDN w:val="0"/>
        <w:adjustRightInd w:val="0"/>
        <w:spacing w:line="600" w:lineRule="exact"/>
        <w:ind w:firstLine="883" w:firstLineChars="200"/>
        <w:jc w:val="left"/>
        <w:outlineLvl w:val="2"/>
        <w:rPr>
          <w:rStyle w:val="24"/>
          <w:rFonts w:ascii="黑体" w:hAnsi="黑体" w:eastAsia="黑体"/>
          <w:b w:val="0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名</w:t>
      </w:r>
      <w:r>
        <w:rPr>
          <w:rStyle w:val="24"/>
          <w:rFonts w:hint="eastAsia" w:ascii="黑体" w:hAnsi="黑体" w:eastAsia="黑体"/>
          <w:b w:val="0"/>
        </w:rPr>
        <w:t>词解释</w:t>
      </w:r>
      <w:bookmarkEnd w:id="55"/>
      <w:bookmarkEnd w:id="56"/>
    </w:p>
    <w:p>
      <w:pPr>
        <w:spacing w:line="600" w:lineRule="exact"/>
        <w:jc w:val="left"/>
        <w:rPr>
          <w:rFonts w:ascii="宋体"/>
          <w:b/>
          <w:color w:val="000000"/>
          <w:sz w:val="44"/>
          <w:szCs w:val="44"/>
        </w:rPr>
      </w:pPr>
    </w:p>
    <w:p>
      <w:pPr>
        <w:pStyle w:val="22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财政拨款收入：指单位从同级财政部门取得的财政预算资金。</w:t>
      </w:r>
    </w:p>
    <w:p>
      <w:pPr>
        <w:spacing w:line="600" w:lineRule="exact"/>
        <w:ind w:firstLine="64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（解释本部门决算报表中全部功能分类科目至项级，请参照《</w:t>
      </w:r>
      <w:r>
        <w:rPr>
          <w:rFonts w:ascii="仿宋" w:hAnsi="仿宋" w:eastAsia="仿宋"/>
          <w:b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年政府收支分类科目》增减内容。）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基本支出：指为保障机构正常运转、完成日常工作任务而发生的人员支出和公用支出。</w:t>
      </w:r>
    </w:p>
    <w:p>
      <w:pPr>
        <w:pStyle w:val="2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</w:p>
    <w:p>
      <w:pPr>
        <w:pStyle w:val="2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4、资本性支出：为了改变办园条件，改善校园环境，保障师生安全等所发生的资金支出。</w:t>
      </w:r>
    </w:p>
    <w:p>
      <w:pPr>
        <w:pStyle w:val="2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outlineLvl w:val="0"/>
        <w:rPr>
          <w:rStyle w:val="24"/>
          <w:rFonts w:ascii="黑体" w:hAnsi="黑体" w:eastAsia="黑体"/>
          <w:b w:val="0"/>
        </w:rPr>
      </w:pPr>
      <w:bookmarkStart w:id="57" w:name="_Toc15396614"/>
      <w:bookmarkStart w:id="58" w:name="_Toc15377226"/>
      <w:r>
        <w:rPr>
          <w:rFonts w:hint="eastAsia" w:ascii="黑体" w:hAnsi="黑体" w:eastAsia="黑体"/>
          <w:color w:val="000000"/>
          <w:sz w:val="44"/>
          <w:szCs w:val="44"/>
        </w:rPr>
        <w:t>第</w:t>
      </w:r>
      <w:r>
        <w:rPr>
          <w:rStyle w:val="24"/>
          <w:rFonts w:hint="eastAsia" w:ascii="黑体" w:hAnsi="黑体" w:eastAsia="黑体"/>
          <w:b w:val="0"/>
        </w:rPr>
        <w:t>四部分 附件</w:t>
      </w:r>
      <w:bookmarkEnd w:id="57"/>
    </w:p>
    <w:p>
      <w:pPr>
        <w:spacing w:line="600" w:lineRule="exact"/>
        <w:jc w:val="center"/>
        <w:outlineLvl w:val="0"/>
        <w:rPr>
          <w:rStyle w:val="24"/>
        </w:rPr>
      </w:pPr>
    </w:p>
    <w:p>
      <w:pPr>
        <w:pStyle w:val="3"/>
        <w:rPr>
          <w:rStyle w:val="24"/>
          <w:rFonts w:ascii="仿宋" w:hAnsi="仿宋" w:eastAsia="仿宋"/>
          <w:b w:val="0"/>
          <w:bCs w:val="0"/>
          <w:sz w:val="32"/>
          <w:szCs w:val="32"/>
        </w:rPr>
      </w:pPr>
      <w:bookmarkStart w:id="59" w:name="_Toc15396615"/>
      <w:r>
        <w:rPr>
          <w:rStyle w:val="24"/>
          <w:rFonts w:hint="eastAsia" w:ascii="仿宋" w:hAnsi="仿宋" w:eastAsia="仿宋"/>
          <w:b w:val="0"/>
          <w:bCs w:val="0"/>
          <w:sz w:val="32"/>
          <w:szCs w:val="32"/>
        </w:rPr>
        <w:t>附件1</w:t>
      </w:r>
      <w:bookmarkEnd w:id="59"/>
    </w:p>
    <w:p>
      <w:pPr>
        <w:spacing w:line="600" w:lineRule="exact"/>
        <w:jc w:val="center"/>
        <w:outlineLvl w:val="0"/>
        <w:rPr>
          <w:rFonts w:hint="eastAsia" w:ascii="黑体" w:hAnsi="黑体" w:eastAsia="黑体" w:cs="方正小标宋简体"/>
          <w:sz w:val="36"/>
          <w:szCs w:val="36"/>
        </w:rPr>
      </w:pPr>
      <w:bookmarkStart w:id="60" w:name="_Toc15396616"/>
      <w:r>
        <w:rPr>
          <w:rFonts w:hint="eastAsia" w:ascii="黑体" w:hAnsi="黑体" w:eastAsia="黑体" w:cs="方正小标宋简体"/>
          <w:sz w:val="36"/>
          <w:szCs w:val="36"/>
        </w:rPr>
        <w:t>开江县</w:t>
      </w:r>
      <w:r>
        <w:rPr>
          <w:rFonts w:hint="eastAsia" w:ascii="黑体" w:hAnsi="黑体" w:eastAsia="黑体" w:cs="方正小标宋简体"/>
          <w:sz w:val="36"/>
          <w:szCs w:val="36"/>
          <w:lang w:eastAsia="zh-CN"/>
        </w:rPr>
        <w:t>示范幼儿园</w:t>
      </w:r>
    </w:p>
    <w:p>
      <w:pPr>
        <w:spacing w:line="600" w:lineRule="exact"/>
        <w:jc w:val="center"/>
        <w:outlineLvl w:val="0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20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方正小标宋简体"/>
          <w:sz w:val="36"/>
          <w:szCs w:val="36"/>
        </w:rPr>
        <w:t>年部门整体支出绩效评价报告</w:t>
      </w:r>
      <w:bookmarkEnd w:id="60"/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一、部门（单位）概况</w:t>
      </w:r>
    </w:p>
    <w:p>
      <w:pPr>
        <w:pStyle w:val="2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我校是一所城镇公立幼儿园，创办于1952年9月，开江县新宁镇龙门街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90号</w:t>
      </w:r>
      <w:r>
        <w:rPr>
          <w:rFonts w:hint="eastAsia" w:ascii="仿宋_GB2312" w:eastAsia="仿宋_GB2312"/>
          <w:sz w:val="32"/>
          <w:szCs w:val="32"/>
          <w:lang w:val="en" w:eastAsia="zh-CN"/>
        </w:rPr>
        <w:t>，辖区目前有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7个社区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>
      <w:pPr>
        <w:pStyle w:val="2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单位职责主要是学前保育教育，促进幼儿教育事业发展。</w:t>
      </w:r>
    </w:p>
    <w:p>
      <w:pPr>
        <w:pStyle w:val="2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我园是独立核算的财政全额拨款事业单位，执行事业单位会计制度，编制部门给我园核定事业编制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个，20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年末我校共有在职教职员工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人，退休人,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人。</w:t>
      </w:r>
    </w:p>
    <w:p>
      <w:pPr>
        <w:widowControl/>
        <w:spacing w:line="480" w:lineRule="auto"/>
        <w:ind w:firstLine="480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单位内设机构：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" w:eastAsia="zh-CN"/>
        </w:rPr>
        <w:t>园务处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、政教处、财务室、、工会等5个科室。</w:t>
      </w:r>
    </w:p>
    <w:p>
      <w:pPr>
        <w:widowControl/>
        <w:spacing w:line="480" w:lineRule="auto"/>
        <w:ind w:firstLine="480"/>
        <w:rPr>
          <w:rFonts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我校共有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个教学班，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508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名学生。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二、部门财政资金收支情况</w:t>
      </w:r>
    </w:p>
    <w:p>
      <w:pPr>
        <w:pStyle w:val="2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（一）部门财政资金收入情况</w:t>
      </w:r>
    </w:p>
    <w:p>
      <w:pPr>
        <w:pStyle w:val="2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年度我校总收入：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639.93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万元（财政补助收入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639.93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万元），结转上年资金0万元，全年总支出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639.93</w:t>
      </w:r>
      <w:r>
        <w:rPr>
          <w:rFonts w:hint="eastAsia" w:ascii="仿宋_GB2312" w:eastAsia="仿宋_GB2312"/>
          <w:sz w:val="32"/>
          <w:szCs w:val="32"/>
          <w:lang w:val="en" w:eastAsia="zh-CN"/>
        </w:rPr>
        <w:t>万元。</w:t>
      </w:r>
    </w:p>
    <w:p>
      <w:pPr>
        <w:pStyle w:val="2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（二）部门财政资金支出情况</w:t>
      </w:r>
    </w:p>
    <w:p>
      <w:pPr>
        <w:pStyle w:val="22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2020年一般公共预算财政拨款支出639.93万元，主要用于以下方面:教育支出（人员类）536.93万元，占83.9%；（其中：社会保障和就业（类）支出83.39万元，占15.5%；住房保障支出38.23万元，占7.1%）； 商品服务类经费支出42.9万元，占6.7%;其他对家庭和个人的补助及退休生活费支出0.1万元，占0.01%，资本性支出59.99万元，占9.4%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三、部门整体预算绩效管理情况（根据适用指标体系进行调整）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（一）部门预算管理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根据预算绩效管理要求，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示范幼儿园</w:t>
      </w:r>
      <w:r>
        <w:rPr>
          <w:rFonts w:hint="eastAsia" w:ascii="仿宋" w:hAnsi="仿宋" w:eastAsia="仿宋" w:cs="仿宋_GB2312"/>
          <w:sz w:val="32"/>
          <w:szCs w:val="32"/>
        </w:rPr>
        <w:t>以“部门职责—工作活动”为依据，确定部门预算项目和预算额度，清晰描述预算项目开支范围和内容，确定预算项目的绩效目标、绩效指标和评价标准，为预算绩效控制、绩效分析、绩效评价打下好的基础。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（二）专项预算管理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按规定要求履行了立项手续，可行性研究报告、概算批复文件、专家论证等相关附件资料齐全，项目预算资金科学合理。2、财政资金拨付到位及时。3、已建立项目管理制度并按照项目管理制度要求执行。4、按期保质保量完成建设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（三）结果应用情况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通过绩效评价，我们认为，20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年度部门预算具有明确的用途和目标，制定了详细的执行计划，资金到位及时并严格按照财政有关规定使用。预算决策、管理、执行等日益规范，能较好地满足工作需要，取得了良好经济效益和社会效益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四、评价结论及建议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幼儿园</w:t>
      </w:r>
      <w:r>
        <w:rPr>
          <w:rFonts w:hint="eastAsia" w:ascii="仿宋" w:hAnsi="仿宋" w:eastAsia="仿宋" w:cs="仿宋_GB2312"/>
          <w:sz w:val="32"/>
          <w:szCs w:val="32"/>
        </w:rPr>
        <w:t>的固定资产管理还有待加强，下年度将按照标准逐步完善。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2、更加科学合理的编制预算。本年度预算完成率分值被扣4分，下一会计年度努力学习预算制度，更加合理地编制预算，使预算、决算差异更小。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3、部分绩效指标及目标值有待进一步细化和量化。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  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4、部门整体预算执行率达到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，预算执行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情况较好</w:t>
      </w:r>
      <w:bookmarkStart w:id="75" w:name="_GoBack"/>
      <w:bookmarkEnd w:id="75"/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5、尚未针对绩效考评制定比较明确的实施细则，有待进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600" w:lineRule="exact"/>
        <w:jc w:val="center"/>
        <w:outlineLvl w:val="0"/>
        <w:rPr>
          <w:rStyle w:val="24"/>
          <w:rFonts w:ascii="黑体" w:hAnsi="黑体" w:eastAsia="黑体"/>
          <w:b w:val="0"/>
        </w:rPr>
      </w:pPr>
      <w:bookmarkStart w:id="61" w:name="_Toc15396618"/>
      <w:r>
        <w:rPr>
          <w:rFonts w:hint="eastAsia" w:ascii="黑体" w:hAnsi="黑体" w:eastAsia="黑体"/>
          <w:color w:val="000000"/>
          <w:sz w:val="44"/>
          <w:szCs w:val="44"/>
        </w:rPr>
        <w:t>第</w:t>
      </w:r>
      <w:r>
        <w:rPr>
          <w:rStyle w:val="24"/>
          <w:rFonts w:hint="eastAsia" w:ascii="黑体" w:hAnsi="黑体" w:eastAsia="黑体"/>
          <w:b w:val="0"/>
        </w:rPr>
        <w:t>五部分 附表</w:t>
      </w:r>
      <w:bookmarkEnd w:id="58"/>
      <w:bookmarkEnd w:id="61"/>
    </w:p>
    <w:p>
      <w:pPr>
        <w:spacing w:line="600" w:lineRule="exact"/>
        <w:jc w:val="center"/>
        <w:outlineLvl w:val="0"/>
        <w:rPr>
          <w:rFonts w:ascii="仿宋" w:hAnsi="仿宋" w:eastAsia="仿宋"/>
          <w:b/>
          <w:color w:val="000000"/>
          <w:sz w:val="44"/>
          <w:szCs w:val="44"/>
        </w:rPr>
      </w:pPr>
    </w:p>
    <w:p>
      <w:pPr>
        <w:pStyle w:val="3"/>
        <w:rPr>
          <w:rFonts w:ascii="仿宋" w:hAnsi="仿宋" w:eastAsia="仿宋"/>
          <w:color w:val="000000"/>
        </w:rPr>
      </w:pPr>
      <w:bookmarkStart w:id="62" w:name="_Toc15396619"/>
      <w:r>
        <w:rPr>
          <w:rFonts w:hint="eastAsia" w:ascii="仿宋" w:hAnsi="仿宋" w:eastAsia="仿宋"/>
          <w:b w:val="0"/>
          <w:color w:val="000000"/>
        </w:rPr>
        <w:t>一、收</w:t>
      </w:r>
      <w:r>
        <w:rPr>
          <w:rStyle w:val="25"/>
          <w:rFonts w:hint="eastAsia" w:ascii="仿宋" w:hAnsi="仿宋" w:eastAsia="仿宋"/>
          <w:b w:val="0"/>
          <w:bCs w:val="0"/>
        </w:rPr>
        <w:t>入支出决算总表</w:t>
      </w:r>
      <w:bookmarkEnd w:id="62"/>
    </w:p>
    <w:p>
      <w:pPr>
        <w:pStyle w:val="3"/>
        <w:rPr>
          <w:rFonts w:ascii="仿宋" w:hAnsi="仿宋" w:eastAsia="仿宋"/>
          <w:color w:val="000000"/>
        </w:rPr>
      </w:pPr>
      <w:bookmarkStart w:id="63" w:name="_Toc15396620"/>
      <w:r>
        <w:rPr>
          <w:rFonts w:hint="eastAsia" w:ascii="仿宋" w:hAnsi="仿宋" w:eastAsia="仿宋"/>
          <w:b w:val="0"/>
          <w:color w:val="000000"/>
        </w:rPr>
        <w:t>二、收</w:t>
      </w:r>
      <w:r>
        <w:rPr>
          <w:rStyle w:val="25"/>
          <w:rFonts w:hint="eastAsia" w:ascii="仿宋" w:hAnsi="仿宋" w:eastAsia="仿宋"/>
          <w:b w:val="0"/>
          <w:bCs w:val="0"/>
        </w:rPr>
        <w:t>入总表</w:t>
      </w:r>
      <w:bookmarkEnd w:id="63"/>
    </w:p>
    <w:p>
      <w:pPr>
        <w:pStyle w:val="3"/>
        <w:rPr>
          <w:rFonts w:ascii="仿宋" w:hAnsi="仿宋" w:eastAsia="仿宋"/>
          <w:color w:val="000000"/>
        </w:rPr>
      </w:pPr>
      <w:bookmarkStart w:id="64" w:name="_Toc15396621"/>
      <w:r>
        <w:rPr>
          <w:rStyle w:val="25"/>
          <w:rFonts w:hint="eastAsia" w:ascii="仿宋" w:hAnsi="仿宋" w:eastAsia="仿宋"/>
          <w:b w:val="0"/>
          <w:bCs w:val="0"/>
        </w:rPr>
        <w:t>三、</w:t>
      </w:r>
      <w:r>
        <w:rPr>
          <w:rFonts w:hint="eastAsia" w:ascii="仿宋" w:hAnsi="仿宋" w:eastAsia="仿宋"/>
          <w:b w:val="0"/>
          <w:color w:val="000000"/>
        </w:rPr>
        <w:t>支</w:t>
      </w:r>
      <w:r>
        <w:rPr>
          <w:rStyle w:val="25"/>
          <w:rFonts w:hint="eastAsia" w:ascii="仿宋" w:hAnsi="仿宋" w:eastAsia="仿宋"/>
          <w:b w:val="0"/>
          <w:bCs w:val="0"/>
        </w:rPr>
        <w:t>出总表</w:t>
      </w:r>
      <w:bookmarkEnd w:id="64"/>
    </w:p>
    <w:p>
      <w:pPr>
        <w:pStyle w:val="3"/>
        <w:rPr>
          <w:rFonts w:ascii="仿宋" w:hAnsi="仿宋" w:eastAsia="仿宋"/>
          <w:b w:val="0"/>
          <w:color w:val="000000"/>
        </w:rPr>
      </w:pPr>
      <w:bookmarkStart w:id="65" w:name="_Toc15396622"/>
      <w:r>
        <w:rPr>
          <w:rStyle w:val="25"/>
          <w:rFonts w:hint="eastAsia" w:ascii="仿宋" w:hAnsi="仿宋" w:eastAsia="仿宋"/>
          <w:b w:val="0"/>
          <w:bCs w:val="0"/>
        </w:rPr>
        <w:t>四、</w:t>
      </w:r>
      <w:r>
        <w:rPr>
          <w:rFonts w:hint="eastAsia" w:ascii="仿宋" w:hAnsi="仿宋" w:eastAsia="仿宋"/>
          <w:b w:val="0"/>
          <w:color w:val="000000"/>
        </w:rPr>
        <w:t>财</w:t>
      </w:r>
      <w:r>
        <w:rPr>
          <w:rStyle w:val="25"/>
          <w:rFonts w:hint="eastAsia" w:ascii="仿宋" w:hAnsi="仿宋" w:eastAsia="仿宋"/>
          <w:b w:val="0"/>
          <w:bCs w:val="0"/>
        </w:rPr>
        <w:t>政拨款收入支出决算总表</w:t>
      </w:r>
      <w:bookmarkEnd w:id="65"/>
    </w:p>
    <w:p>
      <w:pPr>
        <w:pStyle w:val="3"/>
        <w:rPr>
          <w:rFonts w:ascii="仿宋" w:hAnsi="仿宋" w:eastAsia="仿宋"/>
          <w:color w:val="000000"/>
        </w:rPr>
      </w:pPr>
      <w:bookmarkStart w:id="66" w:name="_Toc15396623"/>
      <w:r>
        <w:rPr>
          <w:rStyle w:val="25"/>
          <w:rFonts w:hint="eastAsia" w:ascii="仿宋" w:hAnsi="仿宋" w:eastAsia="仿宋"/>
          <w:b w:val="0"/>
          <w:bCs w:val="0"/>
        </w:rPr>
        <w:t>五、</w:t>
      </w:r>
      <w:r>
        <w:rPr>
          <w:rFonts w:hint="eastAsia" w:ascii="仿宋" w:hAnsi="仿宋" w:eastAsia="仿宋"/>
          <w:b w:val="0"/>
          <w:color w:val="000000"/>
        </w:rPr>
        <w:t>财</w:t>
      </w:r>
      <w:r>
        <w:rPr>
          <w:rStyle w:val="25"/>
          <w:rFonts w:hint="eastAsia" w:ascii="仿宋" w:hAnsi="仿宋" w:eastAsia="仿宋"/>
          <w:b w:val="0"/>
          <w:bCs w:val="0"/>
        </w:rPr>
        <w:t>政拨款支出决算明细表（政府经济分类科目）</w:t>
      </w:r>
      <w:bookmarkEnd w:id="66"/>
    </w:p>
    <w:p>
      <w:pPr>
        <w:pStyle w:val="3"/>
        <w:rPr>
          <w:rFonts w:ascii="仿宋" w:hAnsi="仿宋" w:eastAsia="仿宋"/>
          <w:color w:val="000000"/>
        </w:rPr>
      </w:pPr>
      <w:bookmarkStart w:id="67" w:name="_Toc15396624"/>
      <w:r>
        <w:rPr>
          <w:rStyle w:val="25"/>
          <w:rFonts w:hint="eastAsia" w:ascii="仿宋" w:hAnsi="仿宋" w:eastAsia="仿宋"/>
          <w:b w:val="0"/>
          <w:bCs w:val="0"/>
        </w:rPr>
        <w:t>六、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5"/>
          <w:rFonts w:hint="eastAsia" w:ascii="仿宋" w:hAnsi="仿宋" w:eastAsia="仿宋"/>
          <w:b w:val="0"/>
          <w:bCs w:val="0"/>
        </w:rPr>
        <w:t>般公共预算财政拨款支出决算表</w:t>
      </w:r>
      <w:bookmarkEnd w:id="67"/>
    </w:p>
    <w:p>
      <w:pPr>
        <w:pStyle w:val="3"/>
        <w:rPr>
          <w:rFonts w:ascii="仿宋" w:hAnsi="仿宋" w:eastAsia="仿宋"/>
          <w:color w:val="000000"/>
        </w:rPr>
      </w:pPr>
      <w:bookmarkStart w:id="68" w:name="_Toc15396625"/>
      <w:r>
        <w:rPr>
          <w:rStyle w:val="25"/>
          <w:rFonts w:hint="eastAsia" w:ascii="仿宋" w:hAnsi="仿宋" w:eastAsia="仿宋"/>
          <w:b w:val="0"/>
          <w:bCs w:val="0"/>
        </w:rPr>
        <w:t>七、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5"/>
          <w:rFonts w:hint="eastAsia" w:ascii="仿宋" w:hAnsi="仿宋" w:eastAsia="仿宋"/>
          <w:b w:val="0"/>
          <w:bCs w:val="0"/>
        </w:rPr>
        <w:t>般公共预算财政拨款支出决算明细表</w:t>
      </w:r>
      <w:bookmarkEnd w:id="68"/>
    </w:p>
    <w:p>
      <w:pPr>
        <w:pStyle w:val="3"/>
        <w:rPr>
          <w:rFonts w:ascii="仿宋" w:hAnsi="仿宋" w:eastAsia="仿宋"/>
          <w:color w:val="000000"/>
        </w:rPr>
      </w:pPr>
      <w:bookmarkStart w:id="69" w:name="_Toc15396626"/>
      <w:r>
        <w:rPr>
          <w:rStyle w:val="25"/>
          <w:rFonts w:hint="eastAsia" w:ascii="仿宋" w:hAnsi="仿宋" w:eastAsia="仿宋"/>
          <w:b w:val="0"/>
          <w:bCs w:val="0"/>
        </w:rPr>
        <w:t>八、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5"/>
          <w:rFonts w:hint="eastAsia" w:ascii="仿宋" w:hAnsi="仿宋" w:eastAsia="仿宋"/>
          <w:b w:val="0"/>
          <w:bCs w:val="0"/>
        </w:rPr>
        <w:t>般公共预算财政拨款基本支出决算表</w:t>
      </w:r>
      <w:bookmarkEnd w:id="69"/>
    </w:p>
    <w:p>
      <w:pPr>
        <w:pStyle w:val="3"/>
        <w:rPr>
          <w:rFonts w:ascii="仿宋" w:hAnsi="仿宋" w:eastAsia="仿宋"/>
          <w:color w:val="000000"/>
        </w:rPr>
      </w:pPr>
      <w:bookmarkStart w:id="70" w:name="_Toc15396627"/>
      <w:r>
        <w:rPr>
          <w:rStyle w:val="25"/>
          <w:rFonts w:hint="eastAsia" w:ascii="仿宋" w:hAnsi="仿宋" w:eastAsia="仿宋"/>
          <w:b w:val="0"/>
          <w:bCs w:val="0"/>
        </w:rPr>
        <w:t>九、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5"/>
          <w:rFonts w:hint="eastAsia" w:ascii="仿宋" w:hAnsi="仿宋" w:eastAsia="仿宋"/>
          <w:b w:val="0"/>
          <w:bCs w:val="0"/>
        </w:rPr>
        <w:t>般公共预算财政拨款项目支出决算表</w:t>
      </w:r>
      <w:bookmarkEnd w:id="70"/>
    </w:p>
    <w:p>
      <w:pPr>
        <w:pStyle w:val="3"/>
        <w:rPr>
          <w:rFonts w:ascii="仿宋" w:hAnsi="仿宋" w:eastAsia="仿宋"/>
          <w:color w:val="000000"/>
        </w:rPr>
      </w:pPr>
      <w:bookmarkStart w:id="71" w:name="_Toc15396628"/>
      <w:r>
        <w:rPr>
          <w:rStyle w:val="25"/>
          <w:rFonts w:hint="eastAsia" w:ascii="仿宋" w:hAnsi="仿宋" w:eastAsia="仿宋"/>
          <w:b w:val="0"/>
          <w:bCs w:val="0"/>
        </w:rPr>
        <w:t>十、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25"/>
          <w:rFonts w:hint="eastAsia" w:ascii="仿宋" w:hAnsi="仿宋" w:eastAsia="仿宋"/>
          <w:b w:val="0"/>
          <w:bCs w:val="0"/>
        </w:rPr>
        <w:t>般公共预算财政拨款“三公”经费支出决算表</w:t>
      </w:r>
      <w:bookmarkEnd w:id="71"/>
    </w:p>
    <w:p>
      <w:pPr>
        <w:pStyle w:val="3"/>
        <w:rPr>
          <w:rFonts w:ascii="仿宋" w:hAnsi="仿宋" w:eastAsia="仿宋"/>
          <w:color w:val="000000"/>
        </w:rPr>
      </w:pPr>
      <w:bookmarkStart w:id="72" w:name="_Toc15396629"/>
      <w:r>
        <w:rPr>
          <w:rStyle w:val="25"/>
          <w:rFonts w:hint="eastAsia" w:ascii="仿宋" w:hAnsi="仿宋" w:eastAsia="仿宋"/>
          <w:b w:val="0"/>
          <w:bCs w:val="0"/>
        </w:rPr>
        <w:t>十一、</w:t>
      </w:r>
      <w:r>
        <w:rPr>
          <w:rFonts w:hint="eastAsia" w:ascii="仿宋" w:hAnsi="仿宋" w:eastAsia="仿宋"/>
          <w:b w:val="0"/>
          <w:color w:val="000000"/>
        </w:rPr>
        <w:t>政</w:t>
      </w:r>
      <w:r>
        <w:rPr>
          <w:rStyle w:val="25"/>
          <w:rFonts w:hint="eastAsia" w:ascii="仿宋" w:hAnsi="仿宋" w:eastAsia="仿宋"/>
          <w:b w:val="0"/>
          <w:bCs w:val="0"/>
        </w:rPr>
        <w:t>府性基金预算财政拨款收入支出决算表</w:t>
      </w:r>
      <w:bookmarkEnd w:id="72"/>
    </w:p>
    <w:p>
      <w:pPr>
        <w:pStyle w:val="3"/>
        <w:rPr>
          <w:rFonts w:ascii="仿宋" w:hAnsi="仿宋" w:eastAsia="仿宋"/>
          <w:color w:val="000000"/>
        </w:rPr>
      </w:pPr>
      <w:bookmarkStart w:id="73" w:name="_Toc15396630"/>
      <w:r>
        <w:rPr>
          <w:rStyle w:val="25"/>
          <w:rFonts w:hint="eastAsia" w:ascii="仿宋" w:hAnsi="仿宋" w:eastAsia="仿宋"/>
          <w:b w:val="0"/>
          <w:bCs w:val="0"/>
        </w:rPr>
        <w:t>十二、</w:t>
      </w:r>
      <w:r>
        <w:rPr>
          <w:rFonts w:hint="eastAsia" w:ascii="仿宋" w:hAnsi="仿宋" w:eastAsia="仿宋"/>
          <w:b w:val="0"/>
          <w:color w:val="000000"/>
        </w:rPr>
        <w:t>政</w:t>
      </w:r>
      <w:r>
        <w:rPr>
          <w:rStyle w:val="25"/>
          <w:rFonts w:hint="eastAsia" w:ascii="仿宋" w:hAnsi="仿宋" w:eastAsia="仿宋"/>
          <w:b w:val="0"/>
          <w:bCs w:val="0"/>
        </w:rPr>
        <w:t>府性基金预算财政拨款“三公”经费支出决算表</w:t>
      </w:r>
      <w:bookmarkEnd w:id="73"/>
    </w:p>
    <w:p>
      <w:pPr>
        <w:pStyle w:val="3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74" w:name="_Toc15396631"/>
      <w:r>
        <w:rPr>
          <w:rStyle w:val="25"/>
          <w:rFonts w:hint="eastAsia" w:ascii="仿宋" w:hAnsi="仿宋" w:eastAsia="仿宋"/>
          <w:b w:val="0"/>
          <w:bCs w:val="0"/>
        </w:rPr>
        <w:t>十三、</w:t>
      </w:r>
      <w:r>
        <w:rPr>
          <w:rFonts w:hint="eastAsia" w:ascii="仿宋" w:hAnsi="仿宋" w:eastAsia="仿宋"/>
          <w:b w:val="0"/>
          <w:color w:val="000000"/>
        </w:rPr>
        <w:t>国</w:t>
      </w:r>
      <w:r>
        <w:rPr>
          <w:rStyle w:val="25"/>
          <w:rFonts w:hint="eastAsia" w:ascii="仿宋" w:hAnsi="仿宋" w:eastAsia="仿宋"/>
          <w:b w:val="0"/>
          <w:bCs w:val="0"/>
        </w:rPr>
        <w:t>有资本经营预算支出决算表</w:t>
      </w:r>
      <w:bookmarkEnd w:id="7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4781956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1D1E9"/>
    <w:multiLevelType w:val="singleLevel"/>
    <w:tmpl w:val="8D71D1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652CEC"/>
    <w:multiLevelType w:val="singleLevel"/>
    <w:tmpl w:val="CF652CE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C0BEF30"/>
    <w:multiLevelType w:val="singleLevel"/>
    <w:tmpl w:val="EC0BEF30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abstractNum w:abstractNumId="3">
    <w:nsid w:val="1272550B"/>
    <w:multiLevelType w:val="multilevel"/>
    <w:tmpl w:val="1272550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7F426B7"/>
    <w:multiLevelType w:val="multilevel"/>
    <w:tmpl w:val="17F426B7"/>
    <w:lvl w:ilvl="0" w:tentative="0">
      <w:start w:val="10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2EB08ACE"/>
    <w:multiLevelType w:val="singleLevel"/>
    <w:tmpl w:val="2EB08ACE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43A7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729F"/>
    <w:rsid w:val="00157BAB"/>
    <w:rsid w:val="001654D1"/>
    <w:rsid w:val="00165A00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B299A"/>
    <w:rsid w:val="002F1818"/>
    <w:rsid w:val="002F567B"/>
    <w:rsid w:val="003216A9"/>
    <w:rsid w:val="0037013F"/>
    <w:rsid w:val="00380C92"/>
    <w:rsid w:val="00381D83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7085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13736"/>
    <w:rsid w:val="00520DA0"/>
    <w:rsid w:val="005664BB"/>
    <w:rsid w:val="0057481D"/>
    <w:rsid w:val="0058486E"/>
    <w:rsid w:val="005D1C8B"/>
    <w:rsid w:val="005D5CED"/>
    <w:rsid w:val="005F1A4C"/>
    <w:rsid w:val="006038E0"/>
    <w:rsid w:val="00605688"/>
    <w:rsid w:val="006070AF"/>
    <w:rsid w:val="00607E6C"/>
    <w:rsid w:val="006101B1"/>
    <w:rsid w:val="00614E44"/>
    <w:rsid w:val="00622830"/>
    <w:rsid w:val="00630AEF"/>
    <w:rsid w:val="006325F8"/>
    <w:rsid w:val="00634C9A"/>
    <w:rsid w:val="00643D7F"/>
    <w:rsid w:val="006440E4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B7DF6"/>
    <w:rsid w:val="007D312A"/>
    <w:rsid w:val="007D3F19"/>
    <w:rsid w:val="007E23B0"/>
    <w:rsid w:val="007E400F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B0F73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5A44"/>
    <w:rsid w:val="00946945"/>
    <w:rsid w:val="00951248"/>
    <w:rsid w:val="0095152F"/>
    <w:rsid w:val="00954C49"/>
    <w:rsid w:val="0097099F"/>
    <w:rsid w:val="00971997"/>
    <w:rsid w:val="00971FFC"/>
    <w:rsid w:val="00973589"/>
    <w:rsid w:val="0097563A"/>
    <w:rsid w:val="0098660A"/>
    <w:rsid w:val="009931C3"/>
    <w:rsid w:val="009B2C43"/>
    <w:rsid w:val="009B4EAE"/>
    <w:rsid w:val="009B7573"/>
    <w:rsid w:val="009C22F4"/>
    <w:rsid w:val="009C2E98"/>
    <w:rsid w:val="009C614B"/>
    <w:rsid w:val="009D3447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344"/>
    <w:rsid w:val="00A307CD"/>
    <w:rsid w:val="00A40A00"/>
    <w:rsid w:val="00A4142F"/>
    <w:rsid w:val="00A56DF2"/>
    <w:rsid w:val="00A67AB5"/>
    <w:rsid w:val="00A81558"/>
    <w:rsid w:val="00A91760"/>
    <w:rsid w:val="00A93B00"/>
    <w:rsid w:val="00A93C21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79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37463"/>
    <w:rsid w:val="00C42709"/>
    <w:rsid w:val="00C533CC"/>
    <w:rsid w:val="00C5751C"/>
    <w:rsid w:val="00C61BFC"/>
    <w:rsid w:val="00C62B85"/>
    <w:rsid w:val="00C65438"/>
    <w:rsid w:val="00C91CBB"/>
    <w:rsid w:val="00CC09B6"/>
    <w:rsid w:val="00CC666F"/>
    <w:rsid w:val="00CC741D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51276"/>
    <w:rsid w:val="00D7035F"/>
    <w:rsid w:val="00DA65AC"/>
    <w:rsid w:val="00DB1913"/>
    <w:rsid w:val="00DC410D"/>
    <w:rsid w:val="00DC68CA"/>
    <w:rsid w:val="00DC7CBA"/>
    <w:rsid w:val="00DD73B7"/>
    <w:rsid w:val="00DF28BC"/>
    <w:rsid w:val="00DF34B9"/>
    <w:rsid w:val="00E00411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646B"/>
    <w:rsid w:val="00EF77C6"/>
    <w:rsid w:val="00F05438"/>
    <w:rsid w:val="00F1361C"/>
    <w:rsid w:val="00F1362B"/>
    <w:rsid w:val="00F160C7"/>
    <w:rsid w:val="00F36D8F"/>
    <w:rsid w:val="00F417B1"/>
    <w:rsid w:val="00F602DF"/>
    <w:rsid w:val="00F81FD9"/>
    <w:rsid w:val="00F841AA"/>
    <w:rsid w:val="00FA23E8"/>
    <w:rsid w:val="00FD3CC1"/>
    <w:rsid w:val="00FF1E02"/>
    <w:rsid w:val="00FF30B4"/>
    <w:rsid w:val="05890A9D"/>
    <w:rsid w:val="08FE05B2"/>
    <w:rsid w:val="0B4866BD"/>
    <w:rsid w:val="0B640325"/>
    <w:rsid w:val="0B9B3A1D"/>
    <w:rsid w:val="0EA4632D"/>
    <w:rsid w:val="1009740F"/>
    <w:rsid w:val="10C055FF"/>
    <w:rsid w:val="137D38AE"/>
    <w:rsid w:val="15971A5F"/>
    <w:rsid w:val="160A626D"/>
    <w:rsid w:val="16BB723D"/>
    <w:rsid w:val="17147481"/>
    <w:rsid w:val="18FE0626"/>
    <w:rsid w:val="192E2355"/>
    <w:rsid w:val="240371BF"/>
    <w:rsid w:val="28BE788A"/>
    <w:rsid w:val="29E60ECC"/>
    <w:rsid w:val="29FD04D3"/>
    <w:rsid w:val="2B5F3DEA"/>
    <w:rsid w:val="2E2E0CEA"/>
    <w:rsid w:val="303C0534"/>
    <w:rsid w:val="309F4F8B"/>
    <w:rsid w:val="31961A0E"/>
    <w:rsid w:val="319F7F4E"/>
    <w:rsid w:val="35726185"/>
    <w:rsid w:val="357920EE"/>
    <w:rsid w:val="38285D27"/>
    <w:rsid w:val="386A118B"/>
    <w:rsid w:val="38AC183F"/>
    <w:rsid w:val="39697400"/>
    <w:rsid w:val="3A2A721F"/>
    <w:rsid w:val="425B6402"/>
    <w:rsid w:val="43EA72CF"/>
    <w:rsid w:val="48843C7A"/>
    <w:rsid w:val="4CC13F15"/>
    <w:rsid w:val="4D360996"/>
    <w:rsid w:val="4FB37E50"/>
    <w:rsid w:val="511A198D"/>
    <w:rsid w:val="5560339D"/>
    <w:rsid w:val="55742C35"/>
    <w:rsid w:val="55FF5AC5"/>
    <w:rsid w:val="574A2D0F"/>
    <w:rsid w:val="5948720E"/>
    <w:rsid w:val="5A416D85"/>
    <w:rsid w:val="5B9C0BFD"/>
    <w:rsid w:val="5C924E66"/>
    <w:rsid w:val="612817E0"/>
    <w:rsid w:val="64641569"/>
    <w:rsid w:val="659A2E12"/>
    <w:rsid w:val="68C4153A"/>
    <w:rsid w:val="6BFF5BEC"/>
    <w:rsid w:val="723A215C"/>
    <w:rsid w:val="74B07714"/>
    <w:rsid w:val="75280841"/>
    <w:rsid w:val="7625019E"/>
    <w:rsid w:val="76A56327"/>
    <w:rsid w:val="785B181D"/>
    <w:rsid w:val="788E44BB"/>
    <w:rsid w:val="788E5C63"/>
    <w:rsid w:val="7AF1065A"/>
    <w:rsid w:val="7C3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chart" Target="charts/chart7.xml"/><Relationship Id="rId17" Type="http://schemas.openxmlformats.org/officeDocument/2006/relationships/chart" Target="charts/chart6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image" Target="media/image1.emf"/><Relationship Id="rId11" Type="http://schemas.openxmlformats.org/officeDocument/2006/relationships/oleObject" Target="embeddings/oleObject1.bin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5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5" Type="http://schemas.microsoft.com/office/2011/relationships/chartColorStyle" Target="colors1.xml"/><Relationship Id="rId4" Type="http://schemas.microsoft.com/office/2011/relationships/chartStyle" Target="style1.xml"/><Relationship Id="rId3" Type="http://schemas.openxmlformats.org/officeDocument/2006/relationships/image" Target="../media/image2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5" Type="http://schemas.microsoft.com/office/2011/relationships/chartColorStyle" Target="colors4.xml"/><Relationship Id="rId4" Type="http://schemas.microsoft.com/office/2011/relationships/chartStyle" Target="style4.xml"/><Relationship Id="rId3" Type="http://schemas.openxmlformats.org/officeDocument/2006/relationships/image" Target="../media/image2.png"/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3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package" Target="../embeddings/Workbook6.xlsx"/></Relationships>
</file>

<file path=word/charts/_rels/chart7.xml.rels><?xml version="1.0" encoding="UTF-8" standalone="yes"?>
<Relationships xmlns="http://schemas.openxmlformats.org/package/2006/relationships"><Relationship Id="rId4" Type="http://schemas.microsoft.com/office/2011/relationships/chartColorStyle" Target="colors7.xml"/><Relationship Id="rId3" Type="http://schemas.microsoft.com/office/2011/relationships/chartStyle" Target="style7.xml"/><Relationship Id="rId2" Type="http://schemas.openxmlformats.org/officeDocument/2006/relationships/themeOverride" Target="../theme/themeOverride4.xml"/><Relationship Id="rId1" Type="http://schemas.openxmlformats.org/officeDocument/2006/relationships/package" Target="../embeddings/Workbook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+mn-cs"/>
              </a:defRPr>
            </a:pPr>
            <a:r>
              <a:rPr altLang="en-US" sz="2200" b="1"/>
              <a:t>收入支出决算总体情况</a:t>
            </a:r>
            <a:endParaRPr altLang="en-US" sz="2200" b="1"/>
          </a:p>
        </c:rich>
      </c:tx>
      <c:layout>
        <c:manualLayout>
          <c:xMode val="edge"/>
          <c:yMode val="edge"/>
          <c:x val="0.237375"/>
          <c:y val="0.036560693641618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706.45</c:v>
                </c:pt>
                <c:pt idx="1">
                  <c:v>639.93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10"/>
        <c:axId val="110397476"/>
        <c:axId val="499886375"/>
      </c:barChart>
      <c:catAx>
        <c:axId val="1103974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9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+mn-cs"/>
              </a:defRPr>
            </a:pPr>
          </a:p>
        </c:txPr>
        <c:crossAx val="499886375"/>
        <c:crosses val="autoZero"/>
        <c:auto val="1"/>
        <c:lblAlgn val="ctr"/>
        <c:lblOffset val="100"/>
        <c:noMultiLvlLbl val="0"/>
      </c:catAx>
      <c:valAx>
        <c:axId val="4998863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7" charset="0"/>
                <a:ea typeface="+mn-ea"/>
                <a:cs typeface="Arial" panose="020B0604020202020204" pitchFamily="7" charset="0"/>
              </a:defRPr>
            </a:pPr>
          </a:p>
        </c:txPr>
        <c:crossAx val="1103974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支出决算结构图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p3d>
              <a:extrusionClr>
                <a:srgbClr val="FFFFFF"/>
              </a:extrusionClr>
              <a:contourClr>
                <a:srgbClr val="FFFFFF"/>
              </a:contourClr>
            </a:sp3d>
          </c:spPr>
          <c:explosion val="0"/>
          <c:dPt>
            <c:idx val="0"/>
            <c:bubble3D val="0"/>
            <c:spPr>
              <a:solidFill>
                <a:schemeClr val="accent1">
                  <a:shade val="76667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Lbls>
            <c:delete val="1"/>
          </c:dLbls>
          <c:cat>
            <c:strRef>
              <c:f>Sheet1!$A$2:$A$3</c:f>
              <c:strCache>
                <c:ptCount val="2"/>
                <c:pt idx="0">
                  <c:v>基本支出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>
                  <a:shade val="76667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tint val="76667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基本支出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>
                  <a:shade val="76667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tint val="76667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基本支出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rgbClr val="FFC000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+mn-cs"/>
              </a:defRPr>
            </a:pPr>
            <a:r>
              <a:rPr sz="2200" b="1"/>
              <a:t>财政拨款收入支出总计变动情况</a:t>
            </a:r>
            <a:endParaRPr sz="22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8825"/>
          <c:y val="0.193796956270468"/>
          <c:w val="0.9018"/>
          <c:h val="0.7134270853400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7" charset="0"/>
                    <a:ea typeface="+mn-ea"/>
                    <a:cs typeface="Arial" panose="020B0604020202020204" pitchFamily="7" charset="0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rgbClr val="ED7D31"/>
            </a:solidFill>
            <a:ln w="12700" cap="flat" cmpd="sng" algn="ctr">
              <a:solidFill>
                <a:srgbClr val="ED7D31">
                  <a:shade val="50000"/>
                </a:srgbClr>
              </a:solidFill>
              <a:prstDash val="solid"/>
              <a:miter lim="800000"/>
            </a:ln>
            <a:effectLst/>
            <a:sp3d>
              <a:extrusionClr>
                <a:srgbClr val="FFFFFF"/>
              </a:extrusionClr>
              <a:contourClr>
                <a:srgbClr val="FFFFFF"/>
              </a:contourClr>
            </a:sp3d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706.45</c:v>
                </c:pt>
                <c:pt idx="1">
                  <c:v>639.93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10"/>
        <c:axId val="624908988"/>
        <c:axId val="580977659"/>
      </c:barChart>
      <c:catAx>
        <c:axId val="6249089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9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+mn-cs"/>
              </a:defRPr>
            </a:pPr>
          </a:p>
        </c:txPr>
        <c:crossAx val="580977659"/>
        <c:crosses val="autoZero"/>
        <c:auto val="1"/>
        <c:lblAlgn val="ctr"/>
        <c:lblOffset val="100"/>
        <c:noMultiLvlLbl val="0"/>
      </c:catAx>
      <c:valAx>
        <c:axId val="5809776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7" charset="0"/>
                <a:ea typeface="+mn-ea"/>
                <a:cs typeface="Arial" panose="020B0604020202020204" pitchFamily="7" charset="0"/>
              </a:defRPr>
            </a:pPr>
          </a:p>
        </c:txPr>
        <c:crossAx val="6249089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5B9BD5">
        <a:lumMod val="40000"/>
        <a:lumOff val="60000"/>
      </a:srgbClr>
    </a:solidFill>
    <a:ln w="9525" cap="flat" cmpd="sng" algn="ctr">
      <a:solidFill>
        <a:schemeClr val="bg1">
          <a:lumMod val="9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+mn-cs"/>
              </a:defRPr>
            </a:pPr>
            <a:r>
              <a:rPr sz="1600" b="1"/>
              <a:t>一般公共预算财政拨款支出决算变动情况</a:t>
            </a:r>
            <a:endParaRPr sz="16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7" charset="0"/>
                    <a:ea typeface="+mn-ea"/>
                    <a:cs typeface="Arial" panose="020B0604020202020204" pitchFamily="7" charset="0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gradFill rotWithShape="1">
              <a:gsLst>
                <a:gs pos="0">
                  <a:srgbClr val="4472C4">
                    <a:satMod val="103000"/>
                    <a:lumMod val="102000"/>
                    <a:tint val="94000"/>
                  </a:srgbClr>
                </a:gs>
                <a:gs pos="50000">
                  <a:srgbClr val="4472C4">
                    <a:satMod val="110000"/>
                    <a:lumMod val="100000"/>
                    <a:shade val="100000"/>
                  </a:srgbClr>
                </a:gs>
                <a:gs pos="100000">
                  <a:srgbClr val="4472C4">
                    <a:lumMod val="99000"/>
                    <a:satMod val="120000"/>
                    <a:shade val="78000"/>
                  </a:srgbClr>
                </a:gs>
              </a:gsLst>
              <a:lin ang="5400000" scaled="0"/>
            </a:gradFill>
            <a:ln w="6350" cap="flat" cmpd="sng" algn="ctr">
              <a:solidFill>
                <a:srgbClr val="4472C4"/>
              </a:solidFill>
              <a:prstDash val="solid"/>
              <a:miter lim="800000"/>
            </a:ln>
            <a:effectLst/>
            <a:sp3d>
              <a:extrusionClr>
                <a:srgbClr val="FFFFFF"/>
              </a:extrusionClr>
              <a:contourClr>
                <a:srgbClr val="FFFFFF"/>
              </a:contourClr>
            </a:sp3d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706.45</c:v>
                </c:pt>
                <c:pt idx="1">
                  <c:v>639.93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10"/>
        <c:axId val="624908988"/>
        <c:axId val="580977659"/>
      </c:barChart>
      <c:catAx>
        <c:axId val="6249089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9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+mn-cs"/>
              </a:defRPr>
            </a:pPr>
          </a:p>
        </c:txPr>
        <c:crossAx val="580977659"/>
        <c:crosses val="autoZero"/>
        <c:auto val="1"/>
        <c:lblAlgn val="ctr"/>
        <c:lblOffset val="100"/>
        <c:noMultiLvlLbl val="0"/>
      </c:catAx>
      <c:valAx>
        <c:axId val="5809776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7" charset="0"/>
                <a:ea typeface="+mn-ea"/>
                <a:cs typeface="Arial" panose="020B0604020202020204" pitchFamily="7" charset="0"/>
              </a:defRPr>
            </a:pPr>
          </a:p>
        </c:txPr>
        <c:crossAx val="6249089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rgbClr val="F79646">
        <a:lumMod val="40000"/>
        <a:lumOff val="60000"/>
      </a:srgbClr>
    </a:solidFill>
    <a:ln w="9525" cap="flat" cmpd="sng" algn="ctr">
      <a:solidFill>
        <a:schemeClr val="bg1">
          <a:lumMod val="9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spc="0" normalizeH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sz="18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一般公共预算财政拨款支出决算结构</a:t>
            </a:r>
            <a:endParaRPr sz="1800">
              <a:solidFill>
                <a:schemeClr val="dk1"/>
              </a:solidFill>
              <a:latin typeface="+mn-lt"/>
              <a:ea typeface="+mn-ea"/>
              <a:cs typeface="+mn-cs"/>
            </a:endParaRPr>
          </a:p>
        </c:rich>
      </c:tx>
      <c:layout>
        <c:manualLayout>
          <c:xMode val="edge"/>
          <c:yMode val="edge"/>
          <c:x val="0.124375"/>
          <c:y val="0.03"/>
        </c:manualLayout>
      </c:layout>
      <c:overlay val="0"/>
      <c:spPr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p3d>
          <a:extrusionClr>
            <a:srgbClr val="FFFFFF"/>
          </a:extrusionClr>
          <a:contourClr>
            <a:srgbClr val="FFFFFF"/>
          </a:contourClr>
        </a:sp3d>
      </c:spPr>
    </c:title>
    <c:autoTitleDeleted val="0"/>
    <c:plotArea>
      <c:layout>
        <c:manualLayout>
          <c:layoutTarget val="inner"/>
          <c:xMode val="edge"/>
          <c:yMode val="edge"/>
          <c:x val="0.080875"/>
          <c:y val="0.143"/>
          <c:w val="0.61525"/>
          <c:h val="0.82033333333333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ED7D31"/>
              </a:solidFill>
              <a:ln w="12700" cap="flat" cmpd="sng" algn="ctr">
                <a:solidFill>
                  <a:srgbClr val="ED7D31">
                    <a:shade val="50000"/>
                  </a:srgbClr>
                </a:solidFill>
                <a:prstDash val="solid"/>
                <a:miter lim="800000"/>
              </a:ln>
              <a:effectLst/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Pt>
            <c:idx val="1"/>
            <c:bubble3D val="0"/>
            <c:spPr>
              <a:solidFill>
                <a:srgbClr val="70AD47"/>
              </a:solidFill>
              <a:ln w="12700" cap="flat" cmpd="sng" algn="ctr">
                <a:solidFill>
                  <a:srgbClr val="70AD47">
                    <a:shade val="50000"/>
                  </a:srgbClr>
                </a:solidFill>
                <a:prstDash val="solid"/>
                <a:miter lim="800000"/>
              </a:ln>
              <a:effectLst/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rgbClr val="4F81BD">
                      <a:shade val="51000"/>
                      <a:satMod val="130000"/>
                    </a:srgbClr>
                  </a:gs>
                  <a:gs pos="80000">
                    <a:srgbClr val="4F81BD">
                      <a:shade val="93000"/>
                      <a:satMod val="130000"/>
                    </a:srgbClr>
                  </a:gs>
                  <a:gs pos="100000">
                    <a:srgbClr val="4F81B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4F81BD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rgbClr val="FFC000">
                      <a:lumMod val="110000"/>
                      <a:satMod val="105000"/>
                      <a:tint val="67000"/>
                    </a:srgbClr>
                  </a:gs>
                  <a:gs pos="50000">
                    <a:srgbClr val="FFC000">
                      <a:lumMod val="105000"/>
                      <a:satMod val="103000"/>
                      <a:tint val="73000"/>
                    </a:srgbClr>
                  </a:gs>
                  <a:gs pos="100000">
                    <a:srgbClr val="FFC000">
                      <a:lumMod val="105000"/>
                      <a:satMod val="109000"/>
                      <a:tint val="81000"/>
                    </a:srgbClr>
                  </a:gs>
                </a:gsLst>
                <a:lin ang="5400000" scaled="0"/>
              </a:gradFill>
              <a:ln w="6350" cap="flat" cmpd="sng" algn="ctr">
                <a:solidFill>
                  <a:srgbClr val="FFC000"/>
                </a:solidFill>
                <a:prstDash val="solid"/>
                <a:miter lim="800000"/>
              </a:ln>
              <a:effectLst/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教育支出</c:v>
                </c:pt>
                <c:pt idx="1">
                  <c:v>商品服务类经费支出</c:v>
                </c:pt>
                <c:pt idx="2">
                  <c:v>其他对家庭和个人的补助及退休生活费支出</c:v>
                </c:pt>
                <c:pt idx="3">
                  <c:v>资本性支出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536.93</c:v>
                </c:pt>
                <c:pt idx="1">
                  <c:v>42.9</c:v>
                </c:pt>
                <c:pt idx="2">
                  <c:v>0.1</c:v>
                </c:pt>
                <c:pt idx="3">
                  <c:v>59.99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100000">
                    <a:schemeClr val="accent3">
                      <a:tint val="58000"/>
                      <a:lumMod val="60000"/>
                      <a:lumOff val="40000"/>
                    </a:schemeClr>
                  </a:gs>
                  <a:gs pos="0">
                    <a:schemeClr val="accent3">
                      <a:tint val="58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3">
                      <a:tint val="86000"/>
                      <a:lumMod val="60000"/>
                      <a:lumOff val="40000"/>
                    </a:schemeClr>
                  </a:gs>
                  <a:gs pos="0">
                    <a:schemeClr val="accent3">
                      <a:tint val="86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shade val="86000"/>
                      <a:lumMod val="60000"/>
                      <a:lumOff val="40000"/>
                    </a:schemeClr>
                  </a:gs>
                  <a:gs pos="0">
                    <a:schemeClr val="accent3">
                      <a:shade val="86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3">
                      <a:shade val="58000"/>
                      <a:lumMod val="60000"/>
                      <a:lumOff val="40000"/>
                    </a:schemeClr>
                  </a:gs>
                  <a:gs pos="0">
                    <a:schemeClr val="accent3">
                      <a:shade val="58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教育支出</c:v>
                </c:pt>
                <c:pt idx="1">
                  <c:v>商品服务类经费支出</c:v>
                </c:pt>
                <c:pt idx="2">
                  <c:v>其他对家庭和个人的补助及退休生活费支出</c:v>
                </c:pt>
                <c:pt idx="3">
                  <c:v>资本性支出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100000">
                    <a:schemeClr val="accent3">
                      <a:tint val="58000"/>
                      <a:lumMod val="60000"/>
                      <a:lumOff val="40000"/>
                    </a:schemeClr>
                  </a:gs>
                  <a:gs pos="0">
                    <a:schemeClr val="accent3">
                      <a:tint val="58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3">
                      <a:tint val="86000"/>
                      <a:lumMod val="60000"/>
                      <a:lumOff val="40000"/>
                    </a:schemeClr>
                  </a:gs>
                  <a:gs pos="0">
                    <a:schemeClr val="accent3">
                      <a:tint val="86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shade val="86000"/>
                      <a:lumMod val="60000"/>
                      <a:lumOff val="40000"/>
                    </a:schemeClr>
                  </a:gs>
                  <a:gs pos="0">
                    <a:schemeClr val="accent3">
                      <a:shade val="86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3">
                      <a:shade val="58000"/>
                      <a:lumMod val="60000"/>
                      <a:lumOff val="40000"/>
                    </a:schemeClr>
                  </a:gs>
                  <a:gs pos="0">
                    <a:schemeClr val="accent3">
                      <a:shade val="58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教育支出</c:v>
                </c:pt>
                <c:pt idx="1">
                  <c:v>商品服务类经费支出</c:v>
                </c:pt>
                <c:pt idx="2">
                  <c:v>其他对家庭和个人的补助及退休生活费支出</c:v>
                </c:pt>
                <c:pt idx="3">
                  <c:v>资本性支出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12700" cap="flat" cmpd="sng" algn="ctr">
      <a:solidFill>
        <a:srgbClr val="A5A5A5"/>
      </a:solidFill>
      <a:prstDash val="solid"/>
      <a:miter lim="800000"/>
    </a:ln>
    <a:effectLst/>
    <a:sp3d>
      <a:extrusionClr>
        <a:srgbClr val="FFFFFF"/>
      </a:extrusionClr>
      <a:contourClr>
        <a:srgbClr val="FFFFFF"/>
      </a:contourClr>
    </a:sp3d>
  </c:spPr>
  <c:txPr>
    <a:bodyPr/>
    <a:lstStyle/>
    <a:p>
      <a:pPr>
        <a:defRPr lang="zh-CN">
          <a:solidFill>
            <a:schemeClr val="dk1"/>
          </a:solidFill>
          <a:latin typeface="+mn-lt"/>
          <a:ea typeface="+mn-ea"/>
          <a:cs typeface="+mn-cs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2200"/>
              <a:t>三公经费财政拨款支出结构</a:t>
            </a:r>
            <a:endParaRPr sz="2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ED7D31"/>
            </a:solidFill>
          </c:spPr>
          <c:explosion val="0"/>
          <c:dPt>
            <c:idx val="0"/>
            <c:bubble3D val="0"/>
            <c:spPr>
              <a:solidFill>
                <a:srgbClr val="5B9BD5"/>
              </a:solidFill>
              <a:ln w="12700" cap="flat" cmpd="sng" algn="ctr">
                <a:solidFill>
                  <a:srgbClr val="5B9BD5">
                    <a:shade val="50000"/>
                  </a:srgbClr>
                </a:solidFill>
                <a:prstDash val="solid"/>
                <a:miter lim="800000"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rgbClr val="9BBB59">
                      <a:shade val="51000"/>
                      <a:satMod val="130000"/>
                    </a:srgbClr>
                  </a:gs>
                  <a:gs pos="80000">
                    <a:srgbClr val="9BBB59">
                      <a:shade val="93000"/>
                      <a:satMod val="130000"/>
                    </a:srgbClr>
                  </a:gs>
                  <a:gs pos="100000">
                    <a:srgbClr val="9BBB59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9BBB59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Pt>
            <c:idx val="2"/>
            <c:bubble3D val="0"/>
            <c:spPr>
              <a:solidFill>
                <a:srgbClr val="ED7D31"/>
              </a:solidFill>
              <a:ln w="6350" cap="flat" cmpd="sng" algn="ctr">
                <a:solidFill>
                  <a:srgbClr val="ED7D31"/>
                </a:solidFill>
                <a:prstDash val="solid"/>
                <a:miter lim="800000"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</c:dPt>
          <c:dPt>
            <c:idx val="3"/>
            <c:bubble3D val="0"/>
            <c:spPr>
              <a:solidFill>
                <a:srgbClr val="ED7D3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因公出国（境）费支出</c:v>
                </c:pt>
                <c:pt idx="1">
                  <c:v>公务用车购置及运行维护费支出</c:v>
                </c:pt>
                <c:pt idx="2">
                  <c:v>公务接待费支出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因公出国（境）费支出</c:v>
                </c:pt>
                <c:pt idx="1">
                  <c:v>公务用车购置及运行维护费支出</c:v>
                </c:pt>
                <c:pt idx="2">
                  <c:v>公务接待费支出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numFmt formatCode="General" sourceLinked="1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因公出国（境）费支出</c:v>
                </c:pt>
                <c:pt idx="1">
                  <c:v>公务用车购置及运行维护费支出</c:v>
                </c:pt>
                <c:pt idx="2">
                  <c:v>公务接待费支出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基本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基本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337A9-B7E8-45CF-89B2-34C4CEDBF6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19</Pages>
  <Words>5163</Words>
  <Characters>2740</Characters>
  <Lines>22</Lines>
  <Paragraphs>15</Paragraphs>
  <TotalTime>13</TotalTime>
  <ScaleCrop>false</ScaleCrop>
  <LinksUpToDate>false</LinksUpToDate>
  <CharactersWithSpaces>7888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2019-08-01T00:48:00Z</cp:lastPrinted>
  <dcterms:modified xsi:type="dcterms:W3CDTF">2021-10-28T02:48:26Z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9F6A8D85E76F44DE8F341E4A3F518A02</vt:lpwstr>
  </property>
</Properties>
</file>