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jc w:val="center"/>
        <w:outlineLvl w:val="0"/>
        <w:rPr>
          <w:rFonts w:eastAsia="方正小标宋简体"/>
          <w:color w:val="000000"/>
          <w:sz w:val="72"/>
          <w:szCs w:val="72"/>
        </w:rPr>
      </w:pPr>
      <w:bookmarkStart w:id="1" w:name="_Toc15396475"/>
      <w:bookmarkStart w:id="2" w:name="_Toc15396597"/>
      <w:bookmarkStart w:id="3" w:name="_Toc15377425"/>
      <w:bookmarkStart w:id="4" w:name="_Toc15378441"/>
      <w:bookmarkStart w:id="5" w:name="_Toc15377193"/>
      <w:bookmarkStart w:id="71" w:name="_GoBack"/>
      <w:r>
        <w:rPr>
          <w:rFonts w:eastAsia="方正小标宋简体"/>
          <w:color w:val="000000"/>
          <w:sz w:val="72"/>
          <w:szCs w:val="72"/>
        </w:rPr>
        <w:t>20</w:t>
      </w:r>
      <w:r>
        <w:rPr>
          <w:rFonts w:hint="eastAsia" w:eastAsia="方正小标宋简体"/>
          <w:color w:val="000000"/>
          <w:sz w:val="72"/>
          <w:szCs w:val="72"/>
          <w:lang w:val="en-US" w:eastAsia="zh-CN"/>
        </w:rPr>
        <w:t>20</w:t>
      </w:r>
      <w:r>
        <w:rPr>
          <w:rFonts w:hint="eastAsia" w:eastAsia="方正小标宋简体"/>
          <w:color w:val="000000"/>
          <w:sz w:val="72"/>
          <w:szCs w:val="72"/>
        </w:rPr>
        <w:t>年度</w:t>
      </w:r>
      <w:bookmarkEnd w:id="1"/>
      <w:bookmarkEnd w:id="2"/>
      <w:bookmarkEnd w:id="3"/>
      <w:bookmarkEnd w:id="4"/>
      <w:bookmarkEnd w:id="5"/>
    </w:p>
    <w:p>
      <w:pPr>
        <w:adjustRightInd w:val="0"/>
        <w:snapToGrid w:val="0"/>
        <w:jc w:val="center"/>
        <w:outlineLvl w:val="0"/>
        <w:rPr>
          <w:rFonts w:eastAsia="方正小标宋简体"/>
          <w:color w:val="000000"/>
          <w:sz w:val="72"/>
          <w:szCs w:val="72"/>
        </w:rPr>
      </w:pPr>
      <w:bookmarkStart w:id="6" w:name="_Toc15396598"/>
      <w:bookmarkStart w:id="7" w:name="_Toc15378442"/>
      <w:bookmarkStart w:id="8" w:name="_Toc15377426"/>
      <w:bookmarkStart w:id="9" w:name="_Toc15377194"/>
      <w:bookmarkStart w:id="10" w:name="_Toc15396476"/>
      <w:r>
        <w:rPr>
          <w:rFonts w:hint="eastAsia" w:eastAsia="方正小标宋简体"/>
          <w:color w:val="000000"/>
          <w:sz w:val="72"/>
          <w:szCs w:val="72"/>
        </w:rPr>
        <w:t>四川省</w:t>
      </w:r>
      <w:bookmarkEnd w:id="0"/>
      <w:bookmarkStart w:id="11" w:name="_Toc15306268"/>
      <w:r>
        <w:rPr>
          <w:rFonts w:hint="eastAsia" w:eastAsia="方正小标宋简体"/>
          <w:color w:val="000000"/>
          <w:sz w:val="72"/>
          <w:szCs w:val="72"/>
        </w:rPr>
        <w:t>开江县</w:t>
      </w:r>
      <w:r>
        <w:rPr>
          <w:rFonts w:hint="eastAsia" w:eastAsia="方正小标宋简体"/>
          <w:color w:val="000000"/>
          <w:sz w:val="72"/>
          <w:szCs w:val="72"/>
          <w:lang w:eastAsia="zh-CN"/>
        </w:rPr>
        <w:t>普安镇杨柳小学</w:t>
      </w:r>
      <w:r>
        <w:rPr>
          <w:rFonts w:hint="eastAsia" w:eastAsia="方正小标宋简体"/>
          <w:color w:val="000000"/>
          <w:sz w:val="72"/>
          <w:szCs w:val="72"/>
        </w:rPr>
        <w:t>部门决算</w:t>
      </w:r>
      <w:bookmarkEnd w:id="6"/>
      <w:bookmarkEnd w:id="7"/>
      <w:bookmarkEnd w:id="8"/>
      <w:bookmarkEnd w:id="9"/>
      <w:bookmarkEnd w:id="10"/>
      <w:bookmarkEnd w:id="11"/>
    </w:p>
    <w:bookmarkEnd w:id="71"/>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w:t>
      </w:r>
      <w:r>
        <w:rPr>
          <w:rFonts w:hint="eastAsia"/>
          <w:lang w:val="en-US" w:eastAsia="zh-CN"/>
        </w:rPr>
        <w:t>10</w:t>
      </w:r>
      <w:r>
        <w:rPr>
          <w:rFonts w:hint="eastAsia"/>
        </w:rPr>
        <w:t>月</w:t>
      </w:r>
      <w:r>
        <w:rPr>
          <w:rFonts w:hint="eastAsia"/>
          <w:lang w:val="en-US" w:eastAsia="zh-CN"/>
        </w:rPr>
        <w:t>08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2020</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lang w:eastAsia="zh-CN"/>
        </w:rPr>
        <w:t>四</w:t>
      </w:r>
      <w:r>
        <w:rPr>
          <w:rStyle w:val="15"/>
          <w:rFonts w:hint="eastAsia"/>
          <w:bCs/>
          <w:kern w:val="44"/>
        </w:rPr>
        <w:t>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320" w:firstLineChars="10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5"/>
        <w:adjustRightInd w:val="0"/>
        <w:snapToGrid w:val="0"/>
        <w:spacing w:before="93" w:line="60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开江县普安镇杨柳小学是一所村级九年一贯制学校，下辖一所中心幼儿园及二所村小。现有在职在编教职工30人，退休人员20人，学生数137人。</w:t>
      </w:r>
      <w:bookmarkEnd w:id="16"/>
      <w:bookmarkEnd w:id="17"/>
    </w:p>
    <w:p>
      <w:pPr>
        <w:pStyle w:val="5"/>
        <w:adjustRightInd w:val="0"/>
        <w:snapToGrid w:val="0"/>
        <w:spacing w:before="93" w:line="600" w:lineRule="exact"/>
        <w:ind w:firstLine="640" w:firstLineChars="200"/>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40" w:firstLineChars="200"/>
        <w:rPr>
          <w:bCs/>
          <w:color w:val="000000"/>
          <w:sz w:val="32"/>
          <w:szCs w:val="32"/>
        </w:rPr>
      </w:pPr>
      <w:r>
        <w:rPr>
          <w:rFonts w:hint="eastAsia" w:ascii="Times New Roman" w:hAnsi="Times New Roman" w:eastAsia="方正仿宋简体" w:cs="Times New Roman"/>
          <w:color w:val="000000"/>
          <w:kern w:val="2"/>
          <w:sz w:val="32"/>
          <w:szCs w:val="32"/>
          <w:lang w:val="en-US" w:eastAsia="zh-CN" w:bidi="ar-SA"/>
        </w:rPr>
        <w:t>按照县委县政府、县教科局2020年工作部署，高质量、高标准落实完成目标任务。</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color w:val="000000"/>
          <w:kern w:val="0"/>
          <w:sz w:val="32"/>
          <w:szCs w:val="32"/>
        </w:rPr>
      </w:pPr>
      <w:r>
        <w:rPr>
          <w:rFonts w:hint="eastAsia" w:ascii="仿宋" w:hAnsi="仿宋" w:eastAsia="仿宋"/>
          <w:sz w:val="32"/>
          <w:szCs w:val="32"/>
          <w:lang w:eastAsia="zh-CN"/>
        </w:rPr>
        <w:t>开江县普安镇杨柳小学，</w:t>
      </w:r>
      <w:r>
        <w:rPr>
          <w:rFonts w:hint="eastAsia" w:ascii="仿宋" w:hAnsi="仿宋" w:eastAsia="仿宋"/>
          <w:sz w:val="32"/>
          <w:szCs w:val="32"/>
        </w:rPr>
        <w:t>具有独立编制和独立核算的</w:t>
      </w:r>
      <w:r>
        <w:rPr>
          <w:rFonts w:hint="eastAsia" w:ascii="仿宋" w:hAnsi="仿宋" w:eastAsia="仿宋"/>
          <w:sz w:val="32"/>
          <w:szCs w:val="32"/>
          <w:lang w:eastAsia="zh-CN"/>
        </w:rPr>
        <w:t>规事业</w:t>
      </w:r>
      <w:r>
        <w:rPr>
          <w:rFonts w:hint="eastAsia" w:ascii="仿宋" w:hAnsi="仿宋" w:eastAsia="仿宋"/>
          <w:sz w:val="32"/>
          <w:szCs w:val="32"/>
        </w:rPr>
        <w:t>单位，单位设</w:t>
      </w:r>
      <w:r>
        <w:rPr>
          <w:rFonts w:hint="eastAsia" w:ascii="仿宋" w:hAnsi="仿宋" w:eastAsia="仿宋"/>
          <w:sz w:val="32"/>
          <w:szCs w:val="32"/>
          <w:lang w:eastAsia="zh-CN"/>
        </w:rPr>
        <w:t>政教处</w:t>
      </w:r>
      <w:r>
        <w:rPr>
          <w:rFonts w:hint="eastAsia" w:ascii="仿宋" w:hAnsi="仿宋" w:eastAsia="仿宋"/>
          <w:sz w:val="32"/>
          <w:szCs w:val="32"/>
        </w:rPr>
        <w:t>、</w:t>
      </w:r>
      <w:r>
        <w:rPr>
          <w:rFonts w:hint="eastAsia" w:ascii="仿宋" w:hAnsi="仿宋" w:eastAsia="仿宋"/>
          <w:sz w:val="32"/>
          <w:szCs w:val="32"/>
          <w:lang w:eastAsia="zh-CN"/>
        </w:rPr>
        <w:t>教务处</w:t>
      </w:r>
      <w:r>
        <w:rPr>
          <w:rFonts w:hint="eastAsia" w:ascii="仿宋" w:hAnsi="仿宋" w:eastAsia="仿宋"/>
          <w:sz w:val="32"/>
          <w:szCs w:val="32"/>
        </w:rPr>
        <w:t>、</w:t>
      </w:r>
      <w:r>
        <w:rPr>
          <w:rFonts w:hint="eastAsia" w:ascii="仿宋" w:hAnsi="仿宋" w:eastAsia="仿宋"/>
          <w:sz w:val="32"/>
          <w:szCs w:val="32"/>
          <w:lang w:eastAsia="zh-CN"/>
        </w:rPr>
        <w:t>安办</w:t>
      </w:r>
      <w:r>
        <w:rPr>
          <w:rFonts w:hint="eastAsia" w:ascii="仿宋" w:hAnsi="仿宋" w:eastAsia="仿宋"/>
          <w:sz w:val="32"/>
          <w:szCs w:val="32"/>
        </w:rPr>
        <w:t>、</w:t>
      </w:r>
      <w:r>
        <w:rPr>
          <w:rFonts w:hint="eastAsia" w:ascii="仿宋" w:hAnsi="仿宋" w:eastAsia="仿宋"/>
          <w:sz w:val="32"/>
          <w:szCs w:val="32"/>
          <w:lang w:eastAsia="zh-CN"/>
        </w:rPr>
        <w:t>少先队</w:t>
      </w:r>
      <w:r>
        <w:rPr>
          <w:rFonts w:hint="eastAsia" w:ascii="仿宋" w:hAnsi="仿宋" w:eastAsia="仿宋"/>
          <w:sz w:val="32"/>
          <w:szCs w:val="32"/>
        </w:rPr>
        <w:t>。</w:t>
      </w:r>
    </w:p>
    <w:p>
      <w:pPr>
        <w:pStyle w:val="2"/>
        <w:ind w:right="440"/>
        <w:jc w:val="center"/>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2020年度收入354.56 万元，与2019年相比，收入增加28.04万元、增长8.5%；总支出354.55万元，支出增加28.03万元，增长8.5%。主要变动原因是人员增加工资增资、财政加大对薄弱学校投入。</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337820</wp:posOffset>
            </wp:positionH>
            <wp:positionV relativeFrom="paragraph">
              <wp:posOffset>318770</wp:posOffset>
            </wp:positionV>
            <wp:extent cx="4572000" cy="2743200"/>
            <wp:effectExtent l="4445" t="4445" r="14605" b="14605"/>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420" w:firstLineChars="200"/>
        <w:jc w:val="left"/>
      </w:pPr>
    </w:p>
    <w:p>
      <w:pPr>
        <w:spacing w:line="600" w:lineRule="exact"/>
        <w:ind w:firstLine="420" w:firstLineChars="200"/>
        <w:jc w:val="left"/>
      </w:pPr>
    </w:p>
    <w:p>
      <w:pPr>
        <w:spacing w:line="600" w:lineRule="exact"/>
        <w:jc w:val="left"/>
        <w:rPr>
          <w:rFonts w:ascii="仿宋_GB2312" w:eastAsia="仿宋_GB2312"/>
          <w:color w:val="000000"/>
          <w:sz w:val="32"/>
          <w:szCs w:val="32"/>
        </w:rPr>
      </w:pPr>
    </w:p>
    <w:p>
      <w:pPr>
        <w:pStyle w:val="23"/>
        <w:spacing w:line="600" w:lineRule="exact"/>
        <w:ind w:left="640" w:firstLine="0" w:firstLineChars="0"/>
        <w:outlineLvl w:val="1"/>
        <w:rPr>
          <w:rFonts w:ascii="黑体" w:hAnsi="黑体" w:eastAsia="黑体"/>
          <w:color w:val="000000"/>
          <w:sz w:val="32"/>
          <w:szCs w:val="32"/>
        </w:rPr>
      </w:pPr>
      <w:bookmarkStart w:id="26" w:name="_Toc15377206"/>
      <w:bookmarkStart w:id="27" w:name="_Toc15396604"/>
    </w:p>
    <w:p>
      <w:pPr>
        <w:pStyle w:val="23"/>
        <w:spacing w:line="600" w:lineRule="exact"/>
        <w:ind w:left="640" w:firstLine="0" w:firstLineChars="0"/>
        <w:outlineLvl w:val="1"/>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2020年本年收入合计354.56万元，其中：一般公共预算财政拨款收入354.56万元，占100%；政府性基金预算财政拨款收入0万元，占0%；国有资本经营预算财政拨款收入0万元，占0%；事业收入0万元，占0%。</w:t>
      </w:r>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（图2：收入决算结构图）（饼状图）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59264" behindDoc="0" locked="0" layoutInCell="1" allowOverlap="1">
            <wp:simplePos x="0" y="0"/>
            <wp:positionH relativeFrom="column">
              <wp:posOffset>83820</wp:posOffset>
            </wp:positionH>
            <wp:positionV relativeFrom="paragraph">
              <wp:posOffset>289560</wp:posOffset>
            </wp:positionV>
            <wp:extent cx="4584065" cy="2755265"/>
            <wp:effectExtent l="0" t="0" r="317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584065" cy="2755265"/>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spacing w:line="600" w:lineRule="exact"/>
        <w:ind w:firstLine="0" w:firstLineChars="0"/>
        <w:outlineLvl w:val="1"/>
        <w:rPr>
          <w:rFonts w:ascii="黑体" w:hAnsi="黑体" w:eastAsia="黑体"/>
          <w:color w:val="000000"/>
          <w:sz w:val="32"/>
          <w:szCs w:val="32"/>
        </w:rPr>
      </w:pPr>
      <w:bookmarkStart w:id="28" w:name="_Toc15377207"/>
      <w:bookmarkStart w:id="29" w:name="_Toc15396605"/>
    </w:p>
    <w:p>
      <w:pPr>
        <w:pStyle w:val="23"/>
        <w:spacing w:line="600" w:lineRule="exact"/>
        <w:ind w:firstLine="0" w:firstLineChars="0"/>
        <w:outlineLvl w:val="1"/>
        <w:rPr>
          <w:rStyle w:val="25"/>
          <w:rFonts w:ascii="黑体" w:hAnsi="黑体" w:eastAsia="黑体"/>
          <w:b w:val="0"/>
        </w:rPr>
      </w:pPr>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2020年本年支出合计354.55万元，其中：基本支出354.55万元，占100%；项目支出0万元，占0%；上缴上级支出0万元。</w:t>
      </w:r>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（图3：支出决算结构图）（饼状图）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137795</wp:posOffset>
            </wp:positionH>
            <wp:positionV relativeFrom="paragraph">
              <wp:posOffset>109220</wp:posOffset>
            </wp:positionV>
            <wp:extent cx="4572000" cy="2743200"/>
            <wp:effectExtent l="4445" t="4445" r="14605" b="14605"/>
            <wp:wrapNone/>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320" w:firstLineChars="1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2020年度财政拨款收入354.56 万元，与2019年相比，收入增加28.04万元、增长8.5%；总支出354.55万元，支出增加28.03万元，增长8.5%。主要变动原因是人员增加工资增资、财政加大对薄弱学校投入。</w:t>
      </w:r>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（图4：财政拨款收、支决算总计变动情况）（柱状图）</w:t>
      </w:r>
    </w:p>
    <w:p>
      <w:pPr>
        <w:spacing w:line="600" w:lineRule="exact"/>
        <w:ind w:firstLine="640" w:firstLineChars="200"/>
        <w:outlineLvl w:val="1"/>
        <w:rPr>
          <w:rFonts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420" w:firstLineChars="200"/>
        <w:outlineLvl w:val="1"/>
        <w:rPr>
          <w:rFonts w:ascii="黑体" w:hAnsi="黑体" w:eastAsia="黑体"/>
          <w:color w:val="000000"/>
          <w:sz w:val="32"/>
          <w:szCs w:val="32"/>
        </w:rPr>
      </w:pPr>
      <w:r>
        <w:drawing>
          <wp:anchor distT="0" distB="0" distL="114300" distR="114300" simplePos="0" relativeHeight="251662336" behindDoc="1" locked="0" layoutInCell="1" allowOverlap="1">
            <wp:simplePos x="0" y="0"/>
            <wp:positionH relativeFrom="column">
              <wp:posOffset>333375</wp:posOffset>
            </wp:positionH>
            <wp:positionV relativeFrom="paragraph">
              <wp:posOffset>-400050</wp:posOffset>
            </wp:positionV>
            <wp:extent cx="4572000" cy="2743200"/>
            <wp:effectExtent l="4445" t="4445" r="14605" b="14605"/>
            <wp:wrapNone/>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outlineLvl w:val="1"/>
        <w:rPr>
          <w:rFonts w:hint="eastAsia" w:ascii="黑体" w:hAnsi="黑体" w:eastAsia="黑体"/>
          <w:color w:val="000000"/>
          <w:sz w:val="32"/>
          <w:szCs w:val="32"/>
        </w:rPr>
      </w:pPr>
    </w:p>
    <w:p>
      <w:pPr>
        <w:spacing w:line="600" w:lineRule="exact"/>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2020年度财政拨款收入354.56 万元，与2019年相比，收入增加28.04万元、增长8.5%；总支出354.55万元，支出增加28.03万元，增长8.5%。主要变动原因是人员增加工资增资、财政加大对薄弱学校投入。</w:t>
      </w:r>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p>
    <w:p>
      <w:pPr>
        <w:spacing w:line="600" w:lineRule="exact"/>
        <w:ind w:firstLine="420" w:firstLineChars="200"/>
        <w:outlineLvl w:val="2"/>
        <w:rPr>
          <w:rFonts w:ascii="仿宋" w:hAnsi="仿宋" w:eastAsia="仿宋"/>
          <w:b/>
          <w:color w:val="000000"/>
          <w:sz w:val="32"/>
          <w:szCs w:val="32"/>
        </w:rPr>
      </w:pPr>
      <w:r>
        <w:drawing>
          <wp:anchor distT="0" distB="0" distL="114300" distR="114300" simplePos="0" relativeHeight="251661312" behindDoc="1" locked="0" layoutInCell="1" allowOverlap="1">
            <wp:simplePos x="0" y="0"/>
            <wp:positionH relativeFrom="column">
              <wp:posOffset>309245</wp:posOffset>
            </wp:positionH>
            <wp:positionV relativeFrom="paragraph">
              <wp:posOffset>156845</wp:posOffset>
            </wp:positionV>
            <wp:extent cx="4572000" cy="2743200"/>
            <wp:effectExtent l="4445" t="4445" r="14605" b="14605"/>
            <wp:wrapNone/>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一般公共预算财政拨款支出354.55万元，主要用于以下方面:一般公共服务（类）支出0万元，占0%；教育支出（类）282.19万元，占80%；社会保障和就业（类）支出32.2万元，占9%；医疗卫生支出16.01万元，占4%；住房保障支出24.15元，占7%。</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1312" behindDoc="1" locked="0" layoutInCell="1" allowOverlap="1">
            <wp:simplePos x="0" y="0"/>
            <wp:positionH relativeFrom="column">
              <wp:posOffset>423545</wp:posOffset>
            </wp:positionH>
            <wp:positionV relativeFrom="paragraph">
              <wp:posOffset>747395</wp:posOffset>
            </wp:positionV>
            <wp:extent cx="4572000" cy="2743200"/>
            <wp:effectExtent l="4445" t="4445" r="14605" b="14605"/>
            <wp:wrapNone/>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p>
    <w:p>
      <w:pPr>
        <w:spacing w:line="600" w:lineRule="exact"/>
        <w:ind w:firstLine="321" w:firstLineChars="100"/>
        <w:outlineLvl w:val="2"/>
        <w:rPr>
          <w:rFonts w:hint="eastAsia" w:ascii="仿宋" w:hAnsi="仿宋" w:eastAsia="仿宋"/>
          <w:b/>
          <w:color w:val="000000"/>
          <w:sz w:val="32"/>
          <w:szCs w:val="32"/>
        </w:rPr>
      </w:pPr>
    </w:p>
    <w:p>
      <w:pPr>
        <w:spacing w:line="600" w:lineRule="exact"/>
        <w:ind w:firstLine="321" w:firstLineChars="100"/>
        <w:outlineLvl w:val="2"/>
        <w:rPr>
          <w:rFonts w:hint="eastAsia"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hint="eastAsia" w:eastAsia="方正仿宋简体"/>
          <w:color w:val="000000"/>
          <w:sz w:val="32"/>
          <w:szCs w:val="32"/>
          <w:lang w:eastAsia="zh-CN"/>
        </w:rPr>
      </w:pPr>
      <w:bookmarkStart w:id="37" w:name="_Toc15377444"/>
      <w:bookmarkStart w:id="38" w:name="_Toc15378460"/>
      <w:bookmarkStart w:id="39" w:name="_Toc15377213"/>
      <w:r>
        <w:rPr>
          <w:rFonts w:hint="eastAsia" w:ascii="仿宋" w:hAnsi="仿宋" w:eastAsia="仿宋"/>
          <w:b/>
          <w:color w:val="000000" w:themeColor="text1"/>
          <w:sz w:val="32"/>
          <w:szCs w:val="32"/>
          <w:lang w:eastAsia="zh-CN"/>
          <w14:textFill>
            <w14:solidFill>
              <w14:schemeClr w14:val="tx1"/>
            </w14:solidFill>
          </w14:textFill>
        </w:rPr>
        <w:t>2020</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eastAsia="方正仿宋简体"/>
          <w:color w:val="000000"/>
          <w:sz w:val="32"/>
          <w:szCs w:val="32"/>
          <w:lang w:val="en-US" w:eastAsia="zh-CN"/>
        </w:rPr>
        <w:t>354.55完成预算</w:t>
      </w:r>
      <w:r>
        <w:rPr>
          <w:rFonts w:hint="eastAsia" w:eastAsia="方正仿宋简体"/>
          <w:color w:val="000000"/>
          <w:sz w:val="32"/>
          <w:szCs w:val="32"/>
          <w:lang w:eastAsia="zh-CN"/>
        </w:rPr>
        <w:t>100%。其中：</w:t>
      </w:r>
      <w:bookmarkEnd w:id="37"/>
      <w:bookmarkEnd w:id="38"/>
      <w:bookmarkEnd w:id="39"/>
    </w:p>
    <w:p>
      <w:pPr>
        <w:spacing w:line="600" w:lineRule="exact"/>
        <w:ind w:left="638" w:leftChars="304"/>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eastAsia="方正仿宋简体"/>
          <w:color w:val="000000"/>
          <w:sz w:val="32"/>
          <w:szCs w:val="32"/>
          <w:lang w:eastAsia="zh-CN"/>
        </w:rPr>
        <w:t>支出决算为</w:t>
      </w:r>
      <w:r>
        <w:rPr>
          <w:rFonts w:hint="eastAsia" w:eastAsia="方正仿宋简体"/>
          <w:color w:val="000000"/>
          <w:sz w:val="32"/>
          <w:szCs w:val="32"/>
          <w:lang w:val="en-US" w:eastAsia="zh-CN"/>
        </w:rPr>
        <w:t>282.19</w:t>
      </w:r>
      <w:r>
        <w:rPr>
          <w:rFonts w:hint="eastAsia" w:eastAsia="方正仿宋简体"/>
          <w:color w:val="000000"/>
          <w:sz w:val="32"/>
          <w:szCs w:val="32"/>
          <w:lang w:eastAsia="zh-CN"/>
        </w:rPr>
        <w:t>万元，完成预算100%。</w:t>
      </w:r>
    </w:p>
    <w:p>
      <w:pPr>
        <w:spacing w:line="600" w:lineRule="exact"/>
        <w:ind w:firstLine="643" w:firstLineChars="200"/>
        <w:rPr>
          <w:rFonts w:hint="eastAsia" w:eastAsia="方正仿宋简体"/>
          <w:color w:val="000000"/>
          <w:sz w:val="32"/>
          <w:szCs w:val="32"/>
          <w:lang w:eastAsia="zh-CN"/>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eastAsia="方正仿宋简体"/>
          <w:color w:val="000000"/>
          <w:sz w:val="32"/>
          <w:szCs w:val="32"/>
          <w:lang w:eastAsia="zh-CN"/>
        </w:rPr>
        <w:t>支出决算为</w:t>
      </w:r>
      <w:r>
        <w:rPr>
          <w:rFonts w:hint="eastAsia" w:eastAsia="方正仿宋简体"/>
          <w:color w:val="000000"/>
          <w:sz w:val="32"/>
          <w:szCs w:val="32"/>
          <w:lang w:val="en-US" w:eastAsia="zh-CN"/>
        </w:rPr>
        <w:t>24.15</w:t>
      </w:r>
      <w:r>
        <w:rPr>
          <w:rFonts w:hint="eastAsia" w:eastAsia="方正仿宋简体"/>
          <w:color w:val="000000"/>
          <w:sz w:val="32"/>
          <w:szCs w:val="32"/>
          <w:lang w:eastAsia="zh-CN"/>
        </w:rPr>
        <w:t>万元，完成预算100%。</w:t>
      </w:r>
    </w:p>
    <w:p>
      <w:pPr>
        <w:spacing w:line="600" w:lineRule="exact"/>
        <w:ind w:firstLine="643" w:firstLineChars="200"/>
        <w:rPr>
          <w:rFonts w:hint="eastAsia" w:eastAsia="方正仿宋简体"/>
          <w:color w:val="000000"/>
          <w:sz w:val="32"/>
          <w:szCs w:val="32"/>
          <w:lang w:eastAsia="zh-CN"/>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eastAsia="方正仿宋简体"/>
          <w:color w:val="000000"/>
          <w:sz w:val="32"/>
          <w:szCs w:val="32"/>
          <w:lang w:eastAsia="zh-CN"/>
        </w:rPr>
        <w:t>支出决算为</w:t>
      </w:r>
      <w:r>
        <w:rPr>
          <w:rFonts w:hint="eastAsia" w:eastAsia="方正仿宋简体"/>
          <w:color w:val="000000"/>
          <w:sz w:val="32"/>
          <w:szCs w:val="32"/>
          <w:lang w:val="en-US" w:eastAsia="zh-CN"/>
        </w:rPr>
        <w:t>32.2</w:t>
      </w:r>
      <w:r>
        <w:rPr>
          <w:rFonts w:hint="eastAsia" w:eastAsia="方正仿宋简体"/>
          <w:color w:val="000000"/>
          <w:sz w:val="32"/>
          <w:szCs w:val="32"/>
          <w:lang w:eastAsia="zh-CN"/>
        </w:rPr>
        <w:t>万元，完成预算100%。</w:t>
      </w:r>
    </w:p>
    <w:p>
      <w:pPr>
        <w:spacing w:line="600" w:lineRule="exact"/>
        <w:ind w:firstLine="643" w:firstLineChars="200"/>
        <w:rPr>
          <w:rFonts w:hint="eastAsia" w:eastAsia="方正仿宋简体"/>
          <w:color w:val="000000"/>
          <w:sz w:val="32"/>
          <w:szCs w:val="32"/>
          <w:lang w:eastAsia="zh-CN"/>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医疗卫生与计划生育支出</w:t>
      </w:r>
      <w:r>
        <w:rPr>
          <w:rStyle w:val="14"/>
          <w:rFonts w:ascii="仿宋" w:hAnsi="仿宋" w:eastAsia="仿宋"/>
          <w:bCs/>
          <w:color w:val="000000"/>
          <w:sz w:val="32"/>
          <w:szCs w:val="32"/>
        </w:rPr>
        <w:t>:</w:t>
      </w:r>
      <w:r>
        <w:rPr>
          <w:rFonts w:hint="eastAsia" w:eastAsia="方正仿宋简体"/>
          <w:color w:val="000000"/>
          <w:sz w:val="32"/>
          <w:szCs w:val="32"/>
          <w:lang w:eastAsia="zh-CN"/>
        </w:rPr>
        <w:t>支出决算为</w:t>
      </w:r>
      <w:r>
        <w:rPr>
          <w:rFonts w:hint="eastAsia" w:eastAsia="方正仿宋简体"/>
          <w:color w:val="000000"/>
          <w:sz w:val="32"/>
          <w:szCs w:val="32"/>
          <w:lang w:val="en-US" w:eastAsia="zh-CN"/>
        </w:rPr>
        <w:t>16.01</w:t>
      </w:r>
      <w:r>
        <w:rPr>
          <w:rFonts w:hint="eastAsia" w:eastAsia="方正仿宋简体"/>
          <w:color w:val="000000"/>
          <w:sz w:val="32"/>
          <w:szCs w:val="32"/>
          <w:lang w:eastAsia="zh-CN"/>
        </w:rPr>
        <w:t>万元，完成预算100%。</w:t>
      </w:r>
    </w:p>
    <w:p>
      <w:pPr>
        <w:tabs>
          <w:tab w:val="right" w:pos="8306"/>
        </w:tabs>
        <w:spacing w:line="600" w:lineRule="exact"/>
        <w:ind w:firstLine="640" w:firstLineChars="20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2020年一般公共预算财政拨款基本支出</w:t>
      </w:r>
      <w:r>
        <w:rPr>
          <w:rFonts w:hint="eastAsia" w:eastAsia="方正仿宋简体"/>
          <w:color w:val="000000"/>
          <w:sz w:val="32"/>
          <w:szCs w:val="32"/>
          <w:lang w:val="en-US" w:eastAsia="zh-CN"/>
        </w:rPr>
        <w:t>354.55</w:t>
      </w:r>
      <w:r>
        <w:rPr>
          <w:rFonts w:hint="eastAsia" w:eastAsia="方正仿宋简体"/>
          <w:color w:val="000000"/>
          <w:sz w:val="32"/>
          <w:szCs w:val="32"/>
          <w:lang w:eastAsia="zh-CN"/>
        </w:rPr>
        <w:t>万元，其中：</w:t>
      </w:r>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人员经费</w:t>
      </w:r>
      <w:r>
        <w:rPr>
          <w:rFonts w:hint="eastAsia" w:eastAsia="方正仿宋简体"/>
          <w:color w:val="000000"/>
          <w:sz w:val="32"/>
          <w:szCs w:val="32"/>
          <w:lang w:val="en-US" w:eastAsia="zh-CN"/>
        </w:rPr>
        <w:t>329.68</w:t>
      </w:r>
      <w:r>
        <w:rPr>
          <w:rFonts w:hint="eastAsia" w:eastAsia="方正仿宋简体"/>
          <w:color w:val="000000"/>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eastAsia="方正仿宋简体"/>
          <w:color w:val="000000"/>
          <w:sz w:val="32"/>
          <w:szCs w:val="32"/>
          <w:lang w:eastAsia="zh-CN"/>
        </w:rPr>
        <w:br w:type="textWrapping"/>
      </w:r>
      <w:r>
        <w:rPr>
          <w:rFonts w:hint="eastAsia" w:eastAsia="方正仿宋简体"/>
          <w:color w:val="000000"/>
          <w:sz w:val="32"/>
          <w:szCs w:val="32"/>
          <w:lang w:eastAsia="zh-CN"/>
        </w:rPr>
        <w:t>　　公用经费</w:t>
      </w:r>
      <w:r>
        <w:rPr>
          <w:rFonts w:hint="eastAsia" w:eastAsia="方正仿宋简体"/>
          <w:color w:val="000000"/>
          <w:sz w:val="32"/>
          <w:szCs w:val="32"/>
          <w:lang w:val="en-US" w:eastAsia="zh-CN"/>
        </w:rPr>
        <w:t>24.87</w:t>
      </w:r>
      <w:r>
        <w:rPr>
          <w:rFonts w:hint="eastAsia" w:eastAsia="方正仿宋简体"/>
          <w:color w:val="000000"/>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2020年“三公”经费财政拨款支出决算为</w:t>
      </w:r>
      <w:r>
        <w:rPr>
          <w:rFonts w:hint="eastAsia" w:eastAsia="方正仿宋简体"/>
          <w:color w:val="000000"/>
          <w:sz w:val="32"/>
          <w:szCs w:val="32"/>
          <w:lang w:val="en-US" w:eastAsia="zh-CN"/>
        </w:rPr>
        <w:t>0.25</w:t>
      </w:r>
      <w:r>
        <w:rPr>
          <w:rFonts w:hint="eastAsia" w:eastAsia="方正仿宋简体"/>
          <w:color w:val="000000"/>
          <w:sz w:val="32"/>
          <w:szCs w:val="32"/>
          <w:lang w:eastAsia="zh-CN"/>
        </w:rPr>
        <w:t>万元，完成预算100%。</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2020年“三公”经费财政拨款支出决算中，因公出国（境）费支出决算0万元，占0%；公务接待费支出决算</w:t>
      </w:r>
      <w:r>
        <w:rPr>
          <w:rFonts w:hint="eastAsia" w:eastAsia="方正仿宋简体"/>
          <w:color w:val="000000"/>
          <w:sz w:val="32"/>
          <w:szCs w:val="32"/>
          <w:lang w:val="en-US" w:eastAsia="zh-CN"/>
        </w:rPr>
        <w:t>0.25</w:t>
      </w:r>
      <w:r>
        <w:rPr>
          <w:rFonts w:hint="eastAsia" w:eastAsia="方正仿宋简体"/>
          <w:color w:val="000000"/>
          <w:sz w:val="32"/>
          <w:szCs w:val="32"/>
          <w:lang w:eastAsia="zh-CN"/>
        </w:rPr>
        <w:t>万元，占100%。具体情况如下：</w:t>
      </w:r>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（图8：“三公”经费财政拨款支出结构）（饼状图）</w:t>
      </w:r>
    </w:p>
    <w:p>
      <w:pPr>
        <w:spacing w:line="600" w:lineRule="exact"/>
        <w:ind w:firstLine="640"/>
        <w:rPr>
          <w:rFonts w:ascii="仿宋_GB2312" w:eastAsia="仿宋_GB2312"/>
          <w:b/>
          <w:color w:val="000000"/>
          <w:sz w:val="32"/>
          <w:szCs w:val="32"/>
        </w:rPr>
      </w:pPr>
      <w:r>
        <w:drawing>
          <wp:anchor distT="0" distB="0" distL="114300" distR="114300" simplePos="0" relativeHeight="251660288" behindDoc="0" locked="0" layoutInCell="1" allowOverlap="1">
            <wp:simplePos x="0" y="0"/>
            <wp:positionH relativeFrom="column">
              <wp:posOffset>132080</wp:posOffset>
            </wp:positionH>
            <wp:positionV relativeFrom="paragraph">
              <wp:posOffset>205740</wp:posOffset>
            </wp:positionV>
            <wp:extent cx="4578350" cy="2755265"/>
            <wp:effectExtent l="0" t="0" r="8890" b="317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6"/>
                    <a:stretch>
                      <a:fillRect/>
                    </a:stretch>
                  </pic:blipFill>
                  <pic:spPr>
                    <a:xfrm>
                      <a:off x="0" y="0"/>
                      <a:ext cx="4578350" cy="2755265"/>
                    </a:xfrm>
                    <a:prstGeom prst="rect">
                      <a:avLst/>
                    </a:prstGeom>
                    <a:noFill/>
                    <a:ln>
                      <a:noFill/>
                    </a:ln>
                  </pic:spPr>
                </pic:pic>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公务接待费支出0.</w:t>
      </w:r>
      <w:r>
        <w:rPr>
          <w:rFonts w:hint="eastAsia" w:eastAsia="方正仿宋简体"/>
          <w:color w:val="000000"/>
          <w:sz w:val="32"/>
          <w:szCs w:val="32"/>
          <w:lang w:val="en-US" w:eastAsia="zh-CN"/>
        </w:rPr>
        <w:t>25</w:t>
      </w:r>
      <w:r>
        <w:rPr>
          <w:rFonts w:hint="eastAsia" w:eastAsia="方正仿宋简体"/>
          <w:color w:val="000000"/>
          <w:sz w:val="32"/>
          <w:szCs w:val="32"/>
          <w:lang w:eastAsia="zh-CN"/>
        </w:rPr>
        <w:t>万元，完成预算100%。公务接待费支出决算比2019年减少0.0</w:t>
      </w:r>
      <w:r>
        <w:rPr>
          <w:rFonts w:hint="eastAsia" w:eastAsia="方正仿宋简体"/>
          <w:color w:val="000000"/>
          <w:sz w:val="32"/>
          <w:szCs w:val="32"/>
          <w:lang w:val="en-US" w:eastAsia="zh-CN"/>
        </w:rPr>
        <w:t>3</w:t>
      </w:r>
      <w:r>
        <w:rPr>
          <w:rFonts w:hint="eastAsia" w:eastAsia="方正仿宋简体"/>
          <w:color w:val="000000"/>
          <w:sz w:val="32"/>
          <w:szCs w:val="32"/>
          <w:lang w:eastAsia="zh-CN"/>
        </w:rPr>
        <w:t>万元，下降0.</w:t>
      </w:r>
      <w:r>
        <w:rPr>
          <w:rFonts w:hint="eastAsia" w:eastAsia="方正仿宋简体"/>
          <w:color w:val="000000"/>
          <w:sz w:val="32"/>
          <w:szCs w:val="32"/>
          <w:lang w:val="en-US" w:eastAsia="zh-CN"/>
        </w:rPr>
        <w:t>10.7</w:t>
      </w:r>
      <w:r>
        <w:rPr>
          <w:rFonts w:hint="eastAsia" w:eastAsia="方正仿宋简体"/>
          <w:color w:val="000000"/>
          <w:sz w:val="32"/>
          <w:szCs w:val="32"/>
          <w:lang w:eastAsia="zh-CN"/>
        </w:rPr>
        <w:t>%。主要原因是贯彻执行中央八项规定。</w:t>
      </w:r>
    </w:p>
    <w:p>
      <w:pPr>
        <w:spacing w:line="600" w:lineRule="exact"/>
        <w:ind w:firstLine="640" w:firstLineChars="20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2020年政府性基金预算拨款支出0万元。</w:t>
      </w:r>
    </w:p>
    <w:p>
      <w:pPr>
        <w:spacing w:line="600" w:lineRule="exact"/>
        <w:ind w:firstLine="640" w:firstLineChars="20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九、国有资本经营预算支出决算情况说明</w:t>
      </w:r>
      <w:bookmarkEnd w:id="48"/>
      <w:bookmarkEnd w:id="49"/>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2020年国有资本经营预算拨款支出0万元。</w:t>
      </w:r>
    </w:p>
    <w:p>
      <w:pPr>
        <w:pStyle w:val="23"/>
        <w:numPr>
          <w:ilvl w:val="0"/>
          <w:numId w:val="2"/>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eastAsia="方正仿宋简体"/>
          <w:color w:val="000000"/>
          <w:sz w:val="32"/>
          <w:szCs w:val="32"/>
          <w:lang w:eastAsia="zh-CN"/>
        </w:rPr>
        <w:t>根据预算绩效管理要求，本部门按要求对2020年部门整体支出开展绩效自评，从评价情况来看全面完成了预算执行，达到了预期效果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eastAsia="方正仿宋简体"/>
          <w:color w:val="000000"/>
          <w:sz w:val="32"/>
          <w:szCs w:val="32"/>
          <w:lang w:eastAsia="zh-CN"/>
        </w:rPr>
        <w:t>本单位2020年度无项目执行情况。</w:t>
      </w: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eastAsia="方正仿宋简体"/>
          <w:color w:val="000000"/>
          <w:sz w:val="32"/>
          <w:szCs w:val="32"/>
          <w:lang w:eastAsia="zh-CN"/>
        </w:rPr>
        <w:t>本部门按要求对2020年部门整体支出绩效评价情况开展自评。</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2020年公用经费</w:t>
      </w:r>
      <w:r>
        <w:rPr>
          <w:rFonts w:hint="eastAsia" w:eastAsia="方正仿宋简体"/>
          <w:color w:val="000000"/>
          <w:sz w:val="32"/>
          <w:szCs w:val="32"/>
          <w:lang w:val="en-US" w:eastAsia="zh-CN"/>
        </w:rPr>
        <w:t>24.87</w:t>
      </w:r>
      <w:r>
        <w:rPr>
          <w:rFonts w:hint="eastAsia" w:eastAsia="方正仿宋简体"/>
          <w:color w:val="000000"/>
          <w:sz w:val="32"/>
          <w:szCs w:val="32"/>
          <w:lang w:eastAsia="zh-CN"/>
        </w:rPr>
        <w:t>万元，与2019年有减少。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eastAsia="zh-CN"/>
        </w:rPr>
        <w:t>2020</w:t>
      </w:r>
      <w:r>
        <w:rPr>
          <w:rFonts w:hint="eastAsia" w:eastAsia="方正仿宋简体"/>
          <w:color w:val="000000"/>
          <w:sz w:val="32"/>
          <w:szCs w:val="32"/>
        </w:rPr>
        <w:t>年，</w:t>
      </w:r>
      <w:r>
        <w:rPr>
          <w:rFonts w:hint="eastAsia" w:eastAsia="方正仿宋简体"/>
          <w:color w:val="000000"/>
          <w:sz w:val="32"/>
          <w:szCs w:val="32"/>
          <w:lang w:eastAsia="zh-CN"/>
        </w:rPr>
        <w:t>杨柳小学</w:t>
      </w:r>
      <w:r>
        <w:rPr>
          <w:rFonts w:hint="eastAsia" w:eastAsia="方正仿宋简体"/>
          <w:color w:val="000000"/>
          <w:sz w:val="32"/>
          <w:szCs w:val="32"/>
        </w:rPr>
        <w:t>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560" w:lineRule="exact"/>
        <w:ind w:firstLine="640" w:firstLineChars="200"/>
        <w:rPr>
          <w:rFonts w:eastAsia="方正仿宋简体"/>
          <w:color w:val="000000"/>
          <w:sz w:val="32"/>
          <w:szCs w:val="32"/>
        </w:rPr>
      </w:pPr>
      <w:r>
        <w:rPr>
          <w:rFonts w:hint="eastAsia" w:eastAsia="方正仿宋简体"/>
          <w:color w:val="000000"/>
          <w:sz w:val="32"/>
          <w:szCs w:val="32"/>
        </w:rPr>
        <w:t>截至</w:t>
      </w:r>
      <w:r>
        <w:rPr>
          <w:rFonts w:hint="eastAsia" w:eastAsia="方正仿宋简体"/>
          <w:color w:val="000000"/>
          <w:sz w:val="32"/>
          <w:szCs w:val="32"/>
          <w:lang w:eastAsia="zh-CN"/>
        </w:rPr>
        <w:t>2020</w:t>
      </w:r>
      <w:r>
        <w:rPr>
          <w:rFonts w:hint="eastAsia" w:eastAsia="方正仿宋简体"/>
          <w:color w:val="000000"/>
          <w:sz w:val="32"/>
          <w:szCs w:val="32"/>
        </w:rPr>
        <w:t>年</w:t>
      </w:r>
      <w:r>
        <w:rPr>
          <w:rFonts w:eastAsia="方正仿宋简体"/>
          <w:color w:val="000000"/>
          <w:sz w:val="32"/>
          <w:szCs w:val="32"/>
        </w:rPr>
        <w:t>12</w:t>
      </w:r>
      <w:r>
        <w:rPr>
          <w:rFonts w:hint="eastAsia" w:eastAsia="方正仿宋简体"/>
          <w:color w:val="000000"/>
          <w:sz w:val="32"/>
          <w:szCs w:val="32"/>
        </w:rPr>
        <w:t>月</w:t>
      </w:r>
      <w:r>
        <w:rPr>
          <w:rFonts w:eastAsia="方正仿宋简体"/>
          <w:color w:val="000000"/>
          <w:sz w:val="32"/>
          <w:szCs w:val="32"/>
        </w:rPr>
        <w:t>31</w:t>
      </w:r>
      <w:r>
        <w:rPr>
          <w:rFonts w:hint="eastAsia" w:eastAsia="方正仿宋简体"/>
          <w:color w:val="000000"/>
          <w:sz w:val="32"/>
          <w:szCs w:val="32"/>
        </w:rPr>
        <w:t>日，</w:t>
      </w:r>
      <w:r>
        <w:rPr>
          <w:rFonts w:hint="eastAsia" w:eastAsia="方正仿宋简体"/>
          <w:color w:val="000000"/>
          <w:sz w:val="32"/>
          <w:szCs w:val="32"/>
          <w:lang w:eastAsia="zh-CN"/>
        </w:rPr>
        <w:t>杨柳小学</w:t>
      </w:r>
      <w:r>
        <w:rPr>
          <w:rFonts w:hint="eastAsia" w:eastAsia="方正仿宋简体"/>
          <w:color w:val="000000"/>
          <w:sz w:val="32"/>
          <w:szCs w:val="32"/>
        </w:rPr>
        <w:t>共有车辆</w:t>
      </w:r>
      <w:r>
        <w:rPr>
          <w:rFonts w:hint="eastAsia" w:eastAsia="方正仿宋简体"/>
          <w:color w:val="000000"/>
          <w:sz w:val="32"/>
          <w:szCs w:val="32"/>
          <w:lang w:val="en-US" w:eastAsia="zh-CN"/>
        </w:rPr>
        <w:t>0</w:t>
      </w:r>
      <w:r>
        <w:rPr>
          <w:rFonts w:hint="eastAsia" w:eastAsia="方正仿宋简体"/>
          <w:color w:val="000000"/>
          <w:sz w:val="32"/>
          <w:szCs w:val="32"/>
        </w:rPr>
        <w:t>辆，其中：其他用车</w:t>
      </w:r>
      <w:r>
        <w:rPr>
          <w:rFonts w:hint="eastAsia" w:eastAsia="方正仿宋简体"/>
          <w:color w:val="000000"/>
          <w:sz w:val="32"/>
          <w:szCs w:val="32"/>
          <w:lang w:val="en-US" w:eastAsia="zh-CN"/>
        </w:rPr>
        <w:t>0</w:t>
      </w:r>
      <w:r>
        <w:rPr>
          <w:rFonts w:hint="eastAsia" w:eastAsia="方正仿宋简体"/>
          <w:color w:val="000000"/>
          <w:sz w:val="32"/>
          <w:szCs w:val="32"/>
        </w:rPr>
        <w:t>辆。</w:t>
      </w:r>
    </w:p>
    <w:p>
      <w:pPr>
        <w:numPr>
          <w:ilvl w:val="0"/>
          <w:numId w:val="4"/>
        </w:numPr>
        <w:spacing w:line="600" w:lineRule="exact"/>
        <w:ind w:firstLine="663" w:firstLineChars="150"/>
        <w:outlineLvl w:val="0"/>
        <w:rPr>
          <w:rFonts w:hint="eastAsia" w:ascii="黑体" w:hAnsi="黑体" w:eastAsia="黑体"/>
          <w:color w:val="000000"/>
          <w:sz w:val="44"/>
          <w:szCs w:val="44"/>
        </w:rPr>
      </w:pPr>
      <w:r>
        <w:rPr>
          <w:rFonts w:hint="eastAsia" w:ascii="黑体" w:hAnsi="黑体" w:eastAsia="黑体"/>
          <w:b/>
          <w:color w:val="000000"/>
          <w:sz w:val="44"/>
          <w:szCs w:val="44"/>
        </w:rPr>
        <w:t xml:space="preserve">   名</w:t>
      </w:r>
      <w:r>
        <w:rPr>
          <w:rStyle w:val="24"/>
          <w:rFonts w:hint="eastAsia" w:ascii="黑体" w:hAnsi="黑体" w:eastAsia="黑体"/>
          <w:b w:val="0"/>
        </w:rPr>
        <w:t>词解释</w:t>
      </w:r>
      <w:bookmarkStart w:id="55" w:name="_Toc15396614"/>
      <w:bookmarkStart w:id="56" w:name="_Toc15377226"/>
    </w:p>
    <w:p>
      <w:pPr>
        <w:spacing w:line="560" w:lineRule="exact"/>
        <w:ind w:firstLine="640" w:firstLineChars="200"/>
        <w:rPr>
          <w:rFonts w:eastAsia="方正仿宋简体"/>
          <w:color w:val="000000"/>
          <w:sz w:val="32"/>
          <w:szCs w:val="32"/>
        </w:rPr>
      </w:pPr>
      <w:r>
        <w:rPr>
          <w:rFonts w:eastAsia="方正仿宋简体"/>
          <w:color w:val="000000"/>
          <w:sz w:val="32"/>
          <w:szCs w:val="32"/>
        </w:rPr>
        <w:t>1.财政拨款收入：指单位从同级财政部门取得的财政预算资金。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2.事业收入：指事业单位开展专业业务活动及辅助活动取得的收入。如…（二级预算单位事业收入情况）等。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3.经营收入：指事业单位在专业业务活动及其辅助活动之外开展非独立核算经营活动取得的收入。如…（二级预算单位经营收入情况）等。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4.其他收入：指单位取得的除上述收入以外的各项收入。主要是…（收入类型）等。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6.年初结转和结余：指以前年度尚未完成、结转到本年按有关规定继续使用的资金。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7.结余分配：指事业单位按照事业单位会计制度的规定从非财政补助结余中分配的事业基金和职工福利基金等。</w:t>
      </w:r>
    </w:p>
    <w:p>
      <w:pPr>
        <w:spacing w:line="560" w:lineRule="exact"/>
        <w:ind w:firstLine="640" w:firstLineChars="200"/>
        <w:rPr>
          <w:rFonts w:eastAsia="方正仿宋简体"/>
          <w:color w:val="000000"/>
          <w:sz w:val="32"/>
          <w:szCs w:val="32"/>
        </w:rPr>
      </w:pPr>
      <w:r>
        <w:rPr>
          <w:rFonts w:eastAsia="方正仿宋简体"/>
          <w:color w:val="000000"/>
          <w:sz w:val="32"/>
          <w:szCs w:val="32"/>
        </w:rPr>
        <w:t>8、年末结转和结余：指单位按有关规定结转到下年或以后年度继续使用的资金。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9、教育（类）进修及培训（款）教师进修（项）:</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10、社会保障和就业（类）行政事业单位离退休（款）机关事业单位基本养老保险缴费支出（项）: </w:t>
      </w:r>
    </w:p>
    <w:p>
      <w:pPr>
        <w:spacing w:line="560" w:lineRule="exact"/>
        <w:ind w:firstLine="640" w:firstLineChars="200"/>
        <w:rPr>
          <w:rFonts w:eastAsia="方正仿宋简体"/>
          <w:color w:val="000000"/>
          <w:sz w:val="32"/>
          <w:szCs w:val="32"/>
        </w:rPr>
      </w:pPr>
      <w:r>
        <w:rPr>
          <w:rFonts w:eastAsia="方正仿宋简体"/>
          <w:color w:val="000000"/>
          <w:sz w:val="32"/>
          <w:szCs w:val="32"/>
        </w:rPr>
        <w:t>11、卫生健康（类）行政事业单位医疗（款）事业单位医疗（项）:</w:t>
      </w:r>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eastAsia="方正仿宋简体"/>
          <w:color w:val="00000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31.公用支出：为保障单位运行用于购买货物和服务的各项资金，包括办公及印刷费、邮电费、差旅费、会议费、福利费、日常维修费、专用材料及一般设备购置费、办公用房水电费、办公用房物业管理费以及其他费用。</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ind w:firstLine="3080" w:firstLineChars="700"/>
        <w:jc w:val="both"/>
        <w:outlineLvl w:val="0"/>
        <w:rPr>
          <w:rStyle w:val="29"/>
          <w:rFonts w:ascii="黑体" w:hAnsi="黑体" w:eastAsia="黑体"/>
          <w:b w:val="0"/>
        </w:rPr>
      </w:pPr>
      <w:r>
        <w:rPr>
          <w:rFonts w:hint="eastAsia" w:ascii="黑体" w:hAnsi="黑体" w:eastAsia="黑体"/>
          <w:color w:val="000000"/>
          <w:sz w:val="44"/>
          <w:szCs w:val="44"/>
        </w:rPr>
        <w:t>第</w:t>
      </w:r>
      <w:r>
        <w:rPr>
          <w:rStyle w:val="29"/>
          <w:rFonts w:hint="eastAsia" w:ascii="黑体" w:hAnsi="黑体" w:eastAsia="黑体"/>
          <w:b w:val="0"/>
        </w:rPr>
        <w:t>四部分 附件</w:t>
      </w:r>
      <w:bookmarkEnd w:id="55"/>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4"/>
          <w:szCs w:val="44"/>
          <w:lang w:eastAsia="zh-CN"/>
        </w:rPr>
        <w:t>开江县普安镇杨柳小学2020年部门整体支出绩效评价报告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开江县</w:t>
      </w:r>
      <w:r>
        <w:rPr>
          <w:rFonts w:hint="eastAsia" w:ascii="宋体" w:hAnsi="宋体" w:cs="宋体"/>
          <w:color w:val="000000"/>
          <w:kern w:val="0"/>
          <w:sz w:val="32"/>
          <w:szCs w:val="32"/>
          <w:shd w:val="clear" w:color="auto" w:fill="FFFFFF"/>
          <w:lang w:val="zh-CN"/>
        </w:rPr>
        <w:t>普安镇杨柳小学</w:t>
      </w:r>
      <w:r>
        <w:rPr>
          <w:rFonts w:hint="eastAsia" w:ascii="宋体" w:hAnsi="宋体" w:eastAsia="宋体" w:cs="宋体"/>
          <w:color w:val="000000"/>
          <w:kern w:val="0"/>
          <w:sz w:val="32"/>
          <w:szCs w:val="32"/>
          <w:shd w:val="clear" w:color="auto" w:fill="FFFFFF"/>
          <w:lang w:val="zh-CN"/>
        </w:rPr>
        <w:t>属全额拨款事业单位，是一个独立核算单位。我校是一所农村小学，下辖一所中心幼儿园及</w:t>
      </w:r>
      <w:r>
        <w:rPr>
          <w:rFonts w:hint="eastAsia" w:ascii="宋体" w:hAnsi="宋体" w:cs="宋体"/>
          <w:color w:val="000000"/>
          <w:kern w:val="0"/>
          <w:sz w:val="32"/>
          <w:szCs w:val="32"/>
          <w:shd w:val="clear" w:color="auto" w:fill="FFFFFF"/>
          <w:lang w:val="zh-CN"/>
        </w:rPr>
        <w:t>二</w:t>
      </w:r>
      <w:r>
        <w:rPr>
          <w:rFonts w:hint="eastAsia" w:ascii="宋体" w:hAnsi="宋体" w:eastAsia="宋体" w:cs="宋体"/>
          <w:color w:val="000000"/>
          <w:kern w:val="0"/>
          <w:sz w:val="32"/>
          <w:szCs w:val="32"/>
          <w:shd w:val="clear" w:color="auto" w:fill="FFFFFF"/>
          <w:lang w:val="zh-CN"/>
        </w:rPr>
        <w:t>所村小。内设机构</w:t>
      </w:r>
      <w:r>
        <w:rPr>
          <w:rFonts w:hint="eastAsia" w:ascii="宋体" w:hAnsi="宋体" w:cs="宋体"/>
          <w:color w:val="000000"/>
          <w:kern w:val="0"/>
          <w:sz w:val="32"/>
          <w:szCs w:val="32"/>
          <w:shd w:val="clear" w:color="auto" w:fill="FFFFFF"/>
          <w:lang w:val="en-US" w:eastAsia="zh-CN"/>
        </w:rPr>
        <w:t>5</w:t>
      </w:r>
      <w:r>
        <w:rPr>
          <w:rFonts w:hint="eastAsia" w:ascii="宋体" w:hAnsi="宋体" w:eastAsia="宋体" w:cs="宋体"/>
          <w:color w:val="000000"/>
          <w:kern w:val="0"/>
          <w:sz w:val="32"/>
          <w:szCs w:val="32"/>
          <w:shd w:val="clear" w:color="auto" w:fill="FFFFFF"/>
          <w:lang w:val="zh-CN"/>
        </w:rPr>
        <w:t>个，包括：教务处、政教处、工会办公室、和</w:t>
      </w:r>
      <w:r>
        <w:rPr>
          <w:rFonts w:hint="eastAsia" w:ascii="宋体" w:hAnsi="宋体" w:cs="宋体"/>
          <w:color w:val="000000"/>
          <w:kern w:val="0"/>
          <w:sz w:val="32"/>
          <w:szCs w:val="32"/>
          <w:shd w:val="clear" w:color="auto" w:fill="FFFFFF"/>
          <w:lang w:val="zh-CN"/>
        </w:rPr>
        <w:t>少先</w:t>
      </w:r>
      <w:r>
        <w:rPr>
          <w:rFonts w:hint="eastAsia" w:ascii="宋体" w:hAnsi="宋体" w:eastAsia="宋体" w:cs="宋体"/>
          <w:color w:val="000000"/>
          <w:kern w:val="0"/>
          <w:sz w:val="32"/>
          <w:szCs w:val="32"/>
          <w:shd w:val="clear" w:color="auto" w:fill="FFFFFF"/>
          <w:lang w:val="zh-CN"/>
        </w:rPr>
        <w:t>队办公室。</w:t>
      </w:r>
    </w:p>
    <w:p>
      <w:pPr>
        <w:widowControl/>
        <w:numPr>
          <w:ilvl w:val="0"/>
          <w:numId w:val="5"/>
        </w:numPr>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机构职能。</w:t>
      </w:r>
    </w:p>
    <w:p>
      <w:pPr>
        <w:widowControl/>
        <w:numPr>
          <w:ilvl w:val="0"/>
          <w:numId w:val="0"/>
        </w:numPr>
        <w:adjustRightInd w:val="0"/>
        <w:snapToGrid w:val="0"/>
        <w:spacing w:line="580" w:lineRule="exact"/>
        <w:contextualSpacing/>
        <w:jc w:val="left"/>
        <w:rPr>
          <w:rFonts w:hint="eastAsia" w:ascii="宋体" w:hAnsi="宋体" w:eastAsia="宋体" w:cs="宋体"/>
          <w:color w:val="000000"/>
          <w:kern w:val="0"/>
          <w:sz w:val="32"/>
          <w:szCs w:val="32"/>
          <w:shd w:val="clear" w:color="auto" w:fill="FFFFFF"/>
          <w:lang w:val="en-US" w:eastAsia="zh-CN"/>
        </w:rPr>
      </w:pPr>
      <w:r>
        <w:rPr>
          <w:rFonts w:hint="eastAsia" w:ascii="宋体" w:hAnsi="宋体" w:eastAsia="宋体" w:cs="宋体"/>
          <w:color w:val="000000"/>
          <w:kern w:val="0"/>
          <w:sz w:val="32"/>
          <w:szCs w:val="32"/>
          <w:shd w:val="clear" w:color="auto" w:fill="FFFFFF"/>
          <w:lang w:val="en-US" w:eastAsia="zh-CN"/>
        </w:rPr>
        <w:t xml:space="preserve">     开江县</w:t>
      </w:r>
      <w:r>
        <w:rPr>
          <w:rFonts w:hint="eastAsia" w:ascii="宋体" w:hAnsi="宋体" w:cs="宋体"/>
          <w:color w:val="000000"/>
          <w:kern w:val="0"/>
          <w:sz w:val="32"/>
          <w:szCs w:val="32"/>
          <w:shd w:val="clear" w:color="auto" w:fill="FFFFFF"/>
          <w:lang w:val="en-US" w:eastAsia="zh-CN"/>
        </w:rPr>
        <w:t>普安镇杨柳小学</w:t>
      </w:r>
      <w:r>
        <w:rPr>
          <w:rFonts w:hint="eastAsia" w:ascii="宋体" w:hAnsi="宋体" w:eastAsia="宋体" w:cs="宋体"/>
          <w:color w:val="000000"/>
          <w:kern w:val="0"/>
          <w:sz w:val="32"/>
          <w:szCs w:val="32"/>
          <w:shd w:val="clear" w:color="auto" w:fill="FFFFFF"/>
          <w:lang w:val="en-US" w:eastAsia="zh-CN"/>
        </w:rPr>
        <w:t>隶属于开江县教育和科学技术局，是一所农村小学。在教科局和上级部门的领导下，依法教育,全面贯彻落实科学发展观，促进本校教育事业的蓬勃发展。以维护教职工利益，保障教职工合法权益，以教职工、学生的人生幸福和生命质量作为重点。</w:t>
      </w:r>
    </w:p>
    <w:p>
      <w:pPr>
        <w:widowControl/>
        <w:numPr>
          <w:ilvl w:val="0"/>
          <w:numId w:val="5"/>
        </w:numPr>
        <w:adjustRightInd w:val="0"/>
        <w:snapToGrid w:val="0"/>
        <w:spacing w:line="580" w:lineRule="exact"/>
        <w:ind w:left="0" w:leftChars="0"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人员概况</w:t>
      </w:r>
      <w:r>
        <w:rPr>
          <w:rFonts w:hint="eastAsia" w:ascii="宋体" w:hAnsi="宋体" w:eastAsia="宋体" w:cs="宋体"/>
          <w:color w:val="000000"/>
          <w:kern w:val="0"/>
          <w:sz w:val="32"/>
          <w:szCs w:val="32"/>
          <w:shd w:val="clear" w:color="auto" w:fill="FFFFFF"/>
          <w:lang w:val="zh-CN"/>
        </w:rPr>
        <w:t>。</w:t>
      </w:r>
    </w:p>
    <w:p>
      <w:pPr>
        <w:widowControl/>
        <w:numPr>
          <w:ilvl w:val="0"/>
          <w:numId w:val="0"/>
        </w:numPr>
        <w:adjustRightInd w:val="0"/>
        <w:snapToGrid w:val="0"/>
        <w:spacing w:line="580" w:lineRule="exact"/>
        <w:ind w:leftChars="200"/>
        <w:contextualSpacing/>
        <w:jc w:val="left"/>
        <w:rPr>
          <w:rFonts w:hint="eastAsia" w:ascii="宋体" w:hAnsi="宋体" w:eastAsia="宋体" w:cs="宋体"/>
          <w:color w:val="000000"/>
          <w:kern w:val="0"/>
          <w:sz w:val="32"/>
          <w:szCs w:val="32"/>
          <w:shd w:val="clear" w:color="auto" w:fill="FFFFFF"/>
          <w:lang w:val="en-US" w:eastAsia="zh-CN"/>
        </w:rPr>
      </w:pPr>
      <w:r>
        <w:rPr>
          <w:rFonts w:hint="eastAsia" w:ascii="宋体" w:hAnsi="宋体" w:eastAsia="宋体" w:cs="宋体"/>
          <w:color w:val="000000"/>
          <w:kern w:val="0"/>
          <w:sz w:val="32"/>
          <w:szCs w:val="32"/>
          <w:shd w:val="clear" w:color="auto" w:fill="FFFFFF"/>
          <w:lang w:val="en-US" w:eastAsia="zh-CN"/>
        </w:rPr>
        <w:t xml:space="preserve">    2020年编制人数</w:t>
      </w:r>
      <w:r>
        <w:rPr>
          <w:rFonts w:hint="eastAsia" w:ascii="宋体" w:hAnsi="宋体" w:cs="宋体"/>
          <w:color w:val="000000"/>
          <w:kern w:val="0"/>
          <w:sz w:val="32"/>
          <w:szCs w:val="32"/>
          <w:shd w:val="clear" w:color="auto" w:fill="FFFFFF"/>
          <w:lang w:val="en-US" w:eastAsia="zh-CN"/>
        </w:rPr>
        <w:t>30</w:t>
      </w:r>
      <w:r>
        <w:rPr>
          <w:rFonts w:hint="eastAsia" w:ascii="宋体" w:hAnsi="宋体" w:eastAsia="宋体" w:cs="宋体"/>
          <w:color w:val="000000"/>
          <w:kern w:val="0"/>
          <w:sz w:val="32"/>
          <w:szCs w:val="32"/>
          <w:shd w:val="clear" w:color="auto" w:fill="FFFFFF"/>
          <w:lang w:val="en-US" w:eastAsia="zh-CN"/>
        </w:rPr>
        <w:t>名，年末财政供养人数为：在职人员</w:t>
      </w:r>
      <w:r>
        <w:rPr>
          <w:rFonts w:hint="eastAsia" w:ascii="宋体" w:hAnsi="宋体" w:cs="宋体"/>
          <w:color w:val="000000"/>
          <w:kern w:val="0"/>
          <w:sz w:val="32"/>
          <w:szCs w:val="32"/>
          <w:shd w:val="clear" w:color="auto" w:fill="FFFFFF"/>
          <w:lang w:val="en-US" w:eastAsia="zh-CN"/>
        </w:rPr>
        <w:t>29</w:t>
      </w:r>
      <w:r>
        <w:rPr>
          <w:rFonts w:hint="eastAsia" w:ascii="宋体" w:hAnsi="宋体" w:eastAsia="宋体" w:cs="宋体"/>
          <w:color w:val="000000"/>
          <w:kern w:val="0"/>
          <w:sz w:val="32"/>
          <w:szCs w:val="32"/>
          <w:shd w:val="clear" w:color="auto" w:fill="FFFFFF"/>
          <w:lang w:val="en-US" w:eastAsia="zh-CN"/>
        </w:rPr>
        <w:t>人，退休人员</w:t>
      </w:r>
      <w:r>
        <w:rPr>
          <w:rFonts w:hint="eastAsia" w:ascii="宋体" w:hAnsi="宋体" w:cs="宋体"/>
          <w:color w:val="000000"/>
          <w:kern w:val="0"/>
          <w:sz w:val="32"/>
          <w:szCs w:val="32"/>
          <w:shd w:val="clear" w:color="auto" w:fill="FFFFFF"/>
          <w:lang w:val="en-US" w:eastAsia="zh-CN"/>
        </w:rPr>
        <w:t>20</w:t>
      </w:r>
      <w:r>
        <w:rPr>
          <w:rFonts w:hint="eastAsia" w:ascii="宋体" w:hAnsi="宋体" w:eastAsia="宋体" w:cs="宋体"/>
          <w:color w:val="000000"/>
          <w:kern w:val="0"/>
          <w:sz w:val="32"/>
          <w:szCs w:val="32"/>
          <w:shd w:val="clear" w:color="auto" w:fill="FFFFFF"/>
          <w:lang w:val="en-US" w:eastAsia="zh-CN"/>
        </w:rPr>
        <w:t>人，遗属人员</w:t>
      </w:r>
      <w:r>
        <w:rPr>
          <w:rFonts w:hint="eastAsia" w:ascii="宋体" w:hAnsi="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lang w:val="en-US" w:eastAsia="zh-CN"/>
        </w:rPr>
        <w:t>人。年末在校小学生</w:t>
      </w:r>
      <w:r>
        <w:rPr>
          <w:rFonts w:hint="eastAsia" w:ascii="宋体" w:hAnsi="宋体" w:cs="宋体"/>
          <w:color w:val="000000"/>
          <w:kern w:val="0"/>
          <w:sz w:val="32"/>
          <w:szCs w:val="32"/>
          <w:shd w:val="clear" w:color="auto" w:fill="FFFFFF"/>
          <w:lang w:val="en-US" w:eastAsia="zh-CN"/>
        </w:rPr>
        <w:t>137</w:t>
      </w:r>
      <w:r>
        <w:rPr>
          <w:rFonts w:hint="eastAsia" w:ascii="宋体" w:hAnsi="宋体" w:eastAsia="宋体" w:cs="宋体"/>
          <w:color w:val="000000"/>
          <w:kern w:val="0"/>
          <w:sz w:val="32"/>
          <w:szCs w:val="32"/>
          <w:shd w:val="clear" w:color="auto" w:fill="FFFFFF"/>
          <w:lang w:val="en-US" w:eastAsia="zh-CN"/>
        </w:rPr>
        <w:t>人。</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w:t>
      </w:r>
      <w:r>
        <w:rPr>
          <w:rFonts w:hint="eastAsia" w:ascii="宋体" w:hAnsi="宋体" w:eastAsia="宋体" w:cs="宋体"/>
          <w:color w:val="000000"/>
          <w:kern w:val="0"/>
          <w:sz w:val="32"/>
          <w:szCs w:val="32"/>
          <w:shd w:val="clear" w:color="auto" w:fill="FFFFFF"/>
          <w:lang w:val="en-US" w:eastAsia="zh-CN"/>
        </w:rPr>
        <w:t>20</w:t>
      </w:r>
      <w:r>
        <w:rPr>
          <w:rFonts w:hint="eastAsia" w:ascii="宋体" w:hAnsi="宋体" w:eastAsia="宋体" w:cs="宋体"/>
          <w:color w:val="000000"/>
          <w:kern w:val="0"/>
          <w:sz w:val="32"/>
          <w:szCs w:val="32"/>
          <w:shd w:val="clear" w:color="auto" w:fill="FFFFFF"/>
          <w:lang w:val="zh-CN"/>
        </w:rPr>
        <w:t>年度我校总收入：</w:t>
      </w:r>
      <w:r>
        <w:rPr>
          <w:rFonts w:hint="eastAsia" w:ascii="宋体" w:hAnsi="宋体" w:cs="宋体"/>
          <w:color w:val="000000"/>
          <w:kern w:val="0"/>
          <w:sz w:val="32"/>
          <w:szCs w:val="32"/>
          <w:shd w:val="clear" w:color="auto" w:fill="FFFFFF"/>
          <w:lang w:val="en-US" w:eastAsia="zh-CN"/>
        </w:rPr>
        <w:t>354.56</w:t>
      </w:r>
      <w:r>
        <w:rPr>
          <w:rFonts w:hint="eastAsia" w:ascii="宋体" w:hAnsi="宋体" w:eastAsia="宋体" w:cs="宋体"/>
          <w:color w:val="000000"/>
          <w:kern w:val="0"/>
          <w:sz w:val="32"/>
          <w:szCs w:val="32"/>
          <w:shd w:val="clear" w:color="auto" w:fill="FFFFFF"/>
          <w:lang w:val="zh-CN"/>
        </w:rPr>
        <w:t>万元（一般公共预算财政拨款收入</w:t>
      </w:r>
      <w:r>
        <w:rPr>
          <w:rFonts w:hint="eastAsia" w:ascii="宋体" w:hAnsi="宋体" w:cs="宋体"/>
          <w:color w:val="000000"/>
          <w:kern w:val="0"/>
          <w:sz w:val="32"/>
          <w:szCs w:val="32"/>
          <w:shd w:val="clear" w:color="auto" w:fill="FFFFFF"/>
          <w:lang w:val="en-US" w:eastAsia="zh-CN"/>
        </w:rPr>
        <w:t>354.56</w:t>
      </w:r>
      <w:r>
        <w:rPr>
          <w:rFonts w:hint="eastAsia" w:ascii="宋体" w:hAnsi="宋体" w:eastAsia="宋体"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（二）部门财政资金支出情况</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354.55</w:t>
      </w:r>
      <w:r>
        <w:rPr>
          <w:rFonts w:hint="eastAsia" w:ascii="仿宋" w:hAnsi="仿宋" w:eastAsia="仿宋"/>
          <w:color w:val="000000"/>
          <w:sz w:val="32"/>
          <w:szCs w:val="32"/>
        </w:rPr>
        <w:t>万元，主要用于以下方面:一般公共服务（类）支出0万元，占0%；教育支出（类）282.19万元，占</w:t>
      </w:r>
      <w:r>
        <w:rPr>
          <w:rFonts w:hint="eastAsia" w:ascii="仿宋" w:hAnsi="仿宋" w:eastAsia="仿宋"/>
          <w:color w:val="000000"/>
          <w:sz w:val="32"/>
          <w:szCs w:val="32"/>
          <w:lang w:val="en-US" w:eastAsia="zh-CN"/>
        </w:rPr>
        <w:t>80</w:t>
      </w:r>
      <w:r>
        <w:rPr>
          <w:rFonts w:hint="eastAsia" w:ascii="仿宋" w:hAnsi="仿宋" w:eastAsia="仿宋"/>
          <w:color w:val="000000"/>
          <w:sz w:val="32"/>
          <w:szCs w:val="32"/>
        </w:rPr>
        <w:t>%；社会保障和就业（类）支出32.2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；医疗卫生支出16.01万元，占</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；住房保障支出24.15元，占</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一是增强了部门预算的完整性。将单位的所有收支编入部门预算，将预算外资金纳入预算管理，实行“收支脱钩”，实现了预算内外资金的统筹安排、综合平衡。</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二是基本规范了部门预算的编制方法。严格按照财政部门下发的口径编制人员的工资福利支出、商品服务支出和对个人及家庭的补助支出。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三是基本规范了预算编制规程。按照预算编制的要求，实行了“二上二下”的预算编制规程，加强了与财政教科文股之间的协调沟通，使预算编制更加合理、规范。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（二）结果应用情况。</w:t>
      </w:r>
    </w:p>
    <w:p>
      <w:pPr>
        <w:spacing w:line="560" w:lineRule="exact"/>
        <w:ind w:firstLine="640" w:firstLineChars="200"/>
        <w:rPr>
          <w:rFonts w:eastAsia="方正仿宋简体"/>
          <w:color w:val="000000"/>
          <w:sz w:val="32"/>
          <w:szCs w:val="32"/>
        </w:rPr>
      </w:pPr>
    </w:p>
    <w:p>
      <w:pPr>
        <w:spacing w:line="560" w:lineRule="exact"/>
        <w:rPr>
          <w:rFonts w:eastAsia="方正仿宋简体"/>
          <w:color w:val="000000"/>
          <w:sz w:val="32"/>
          <w:szCs w:val="32"/>
        </w:rPr>
      </w:pPr>
    </w:p>
    <w:tbl>
      <w:tblPr>
        <w:tblStyle w:val="12"/>
        <w:tblW w:w="5000" w:type="pct"/>
        <w:tblInd w:w="0" w:type="dxa"/>
        <w:shd w:val="clear" w:color="auto" w:fill="auto"/>
        <w:tblLayout w:type="autofit"/>
        <w:tblCellMar>
          <w:top w:w="0" w:type="dxa"/>
          <w:left w:w="0" w:type="dxa"/>
          <w:bottom w:w="0" w:type="dxa"/>
          <w:right w:w="0" w:type="dxa"/>
        </w:tblCellMar>
      </w:tblPr>
      <w:tblGrid>
        <w:gridCol w:w="788"/>
        <w:gridCol w:w="182"/>
        <w:gridCol w:w="1546"/>
        <w:gridCol w:w="111"/>
        <w:gridCol w:w="686"/>
        <w:gridCol w:w="396"/>
        <w:gridCol w:w="1662"/>
        <w:gridCol w:w="113"/>
        <w:gridCol w:w="1333"/>
        <w:gridCol w:w="795"/>
        <w:gridCol w:w="724"/>
      </w:tblGrid>
      <w:tr>
        <w:tblPrEx>
          <w:shd w:val="clear" w:color="auto" w:fill="auto"/>
          <w:tblCellMar>
            <w:top w:w="0" w:type="dxa"/>
            <w:left w:w="0" w:type="dxa"/>
            <w:bottom w:w="0" w:type="dxa"/>
            <w:right w:w="0" w:type="dxa"/>
          </w:tblCellMar>
        </w:tblPrEx>
        <w:trPr>
          <w:trHeight w:val="540"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2020年部门预算整体支出绩效目标批复表</w:t>
            </w:r>
          </w:p>
        </w:tc>
      </w:tr>
      <w:tr>
        <w:tblPrEx>
          <w:shd w:val="clear" w:color="auto" w:fill="auto"/>
          <w:tblCellMar>
            <w:top w:w="0" w:type="dxa"/>
            <w:left w:w="0" w:type="dxa"/>
            <w:bottom w:w="0" w:type="dxa"/>
            <w:right w:w="0" w:type="dxa"/>
          </w:tblCellMar>
        </w:tblPrEx>
        <w:trPr>
          <w:trHeight w:val="390"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2020 年度）</w:t>
            </w:r>
          </w:p>
        </w:tc>
      </w:tr>
      <w:tr>
        <w:tblPrEx>
          <w:shd w:val="clear" w:color="auto" w:fill="auto"/>
          <w:tblCellMar>
            <w:top w:w="0" w:type="dxa"/>
            <w:left w:w="0" w:type="dxa"/>
            <w:bottom w:w="0" w:type="dxa"/>
            <w:right w:w="0" w:type="dxa"/>
          </w:tblCellMar>
        </w:tblPrEx>
        <w:trPr>
          <w:trHeight w:val="345" w:hRule="atLeast"/>
        </w:trPr>
        <w:tc>
          <w:tcPr>
            <w:tcW w:w="52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w:t>
            </w:r>
          </w:p>
        </w:tc>
        <w:tc>
          <w:tcPr>
            <w:tcW w:w="27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开江县普安镇杨柳小学</w:t>
            </w:r>
          </w:p>
        </w:tc>
        <w:tc>
          <w:tcPr>
            <w:tcW w:w="5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7" w:type="pct"/>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375"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部门基本信息</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    218</w:t>
            </w:r>
          </w:p>
        </w:tc>
        <w:tc>
          <w:tcPr>
            <w:tcW w:w="3148"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开江县普安镇杨柳小学</w:t>
            </w:r>
          </w:p>
        </w:tc>
      </w:tr>
      <w:tr>
        <w:tblPrEx>
          <w:shd w:val="clear" w:color="auto" w:fill="auto"/>
          <w:tblCellMar>
            <w:top w:w="0" w:type="dxa"/>
            <w:left w:w="0" w:type="dxa"/>
            <w:bottom w:w="0" w:type="dxa"/>
            <w:right w:w="0" w:type="dxa"/>
          </w:tblCellMar>
        </w:tblPrEx>
        <w:trPr>
          <w:trHeight w:val="40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人员编制数：30</w:t>
            </w:r>
          </w:p>
        </w:tc>
        <w:tc>
          <w:tcPr>
            <w:tcW w:w="253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单位实有人数：31</w:t>
            </w: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年度工作任务</w:t>
            </w:r>
          </w:p>
        </w:tc>
        <w:tc>
          <w:tcPr>
            <w:tcW w:w="4193"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1、贯彻执行党和国家教育方针政策，促进教育事业发展。</w:t>
            </w: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93"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2、确保教职工的工资、遗属的生活补助、临时工工资按时足额发放。</w:t>
            </w: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93"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3、确保学校正常运转，不断提升学校的教育教学质量。</w:t>
            </w: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93"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4、保障本辖区适龄儿童受教育的权利，对贫困学生做好资助工作。</w:t>
            </w: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93"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5、加强师资队伍建设，负责本校教师人事管理、继续教育、考核考评等工作。</w:t>
            </w:r>
          </w:p>
        </w:tc>
      </w:tr>
      <w:tr>
        <w:tblPrEx>
          <w:shd w:val="clear" w:color="auto" w:fill="auto"/>
          <w:tblCellMar>
            <w:top w:w="0" w:type="dxa"/>
            <w:left w:w="0" w:type="dxa"/>
            <w:bottom w:w="0" w:type="dxa"/>
            <w:right w:w="0" w:type="dxa"/>
          </w:tblCellMar>
        </w:tblPrEx>
        <w:trPr>
          <w:trHeight w:val="42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93"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6.完成教师继续教育培训工作。</w:t>
            </w:r>
          </w:p>
        </w:tc>
      </w:tr>
      <w:tr>
        <w:tblPrEx>
          <w:shd w:val="clear" w:color="auto" w:fill="auto"/>
          <w:tblCellMar>
            <w:top w:w="0" w:type="dxa"/>
            <w:left w:w="0" w:type="dxa"/>
            <w:bottom w:w="0" w:type="dxa"/>
            <w:right w:w="0" w:type="dxa"/>
          </w:tblCellMar>
        </w:tblPrEx>
        <w:trPr>
          <w:trHeight w:val="6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部门预算情况</w:t>
            </w:r>
          </w:p>
        </w:tc>
        <w:tc>
          <w:tcPr>
            <w:tcW w:w="10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收入预算合计：</w:t>
            </w:r>
          </w:p>
        </w:tc>
        <w:tc>
          <w:tcPr>
            <w:tcW w:w="5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305.7327</w:t>
            </w:r>
          </w:p>
        </w:tc>
        <w:tc>
          <w:tcPr>
            <w:tcW w:w="9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支出预算合计：</w:t>
            </w: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305.7327</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近两年支出预算金额</w:t>
            </w:r>
          </w:p>
        </w:tc>
      </w:tr>
      <w:tr>
        <w:tblPrEx>
          <w:shd w:val="clear" w:color="auto" w:fill="auto"/>
          <w:tblCellMar>
            <w:top w:w="0" w:type="dxa"/>
            <w:left w:w="0" w:type="dxa"/>
            <w:bottom w:w="0" w:type="dxa"/>
            <w:right w:w="0" w:type="dxa"/>
          </w:tblCellMar>
        </w:tblPrEx>
        <w:trPr>
          <w:trHeight w:val="60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2018</w:t>
            </w:r>
            <w:r>
              <w:rPr>
                <w:rStyle w:val="30"/>
                <w:lang w:val="en-US" w:eastAsia="zh-CN" w:bidi="ar"/>
              </w:rPr>
              <w:t>年</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2019</w:t>
            </w:r>
            <w:r>
              <w:rPr>
                <w:rStyle w:val="30"/>
                <w:lang w:val="en-US" w:eastAsia="zh-CN" w:bidi="ar"/>
              </w:rPr>
              <w:t>年</w:t>
            </w:r>
          </w:p>
        </w:tc>
      </w:tr>
      <w:tr>
        <w:tblPrEx>
          <w:shd w:val="clear" w:color="auto" w:fill="auto"/>
          <w:tblCellMar>
            <w:top w:w="0" w:type="dxa"/>
            <w:left w:w="0" w:type="dxa"/>
            <w:bottom w:w="0" w:type="dxa"/>
            <w:right w:w="0" w:type="dxa"/>
          </w:tblCellMar>
        </w:tblPrEx>
        <w:trPr>
          <w:trHeight w:val="55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w:t>
            </w: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305.7327</w:t>
            </w: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7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305.7327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255.02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275.28</w:t>
            </w:r>
          </w:p>
        </w:tc>
      </w:tr>
      <w:tr>
        <w:tblPrEx>
          <w:shd w:val="clear" w:color="auto" w:fill="auto"/>
          <w:tblCellMar>
            <w:top w:w="0" w:type="dxa"/>
            <w:left w:w="0" w:type="dxa"/>
            <w:bottom w:w="0" w:type="dxa"/>
            <w:right w:w="0" w:type="dxa"/>
          </w:tblCellMar>
        </w:tblPrEx>
        <w:trPr>
          <w:trHeight w:val="61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（二）政府基金预算</w:t>
            </w: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其中：三公经费支出</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r>
      <w:tr>
        <w:tblPrEx>
          <w:shd w:val="clear" w:color="auto" w:fill="auto"/>
          <w:tblCellMar>
            <w:top w:w="0" w:type="dxa"/>
            <w:left w:w="0" w:type="dxa"/>
            <w:bottom w:w="0" w:type="dxa"/>
            <w:right w:w="0" w:type="dxa"/>
          </w:tblCellMar>
        </w:tblPrEx>
        <w:trPr>
          <w:trHeight w:val="61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（三）上年结转</w:t>
            </w: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（四）其他资金</w:t>
            </w: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7" w:type="pct"/>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470"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2020年度，根据上级的部署和学校的工作目标，经学校行政会研究讨论，报教代会审核通过：本年度确保教职工的工资、遗属的生活补助、幼儿园代课教师和临时工工资按时足额发放；确保学校正常运转，全面提升学校的教育教学质量，努力办好人民满意教育。</w:t>
            </w: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三级指标名称</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完成指标</w:t>
            </w: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三级指标名称</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关爱留守儿童，资助贫困生</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80人次，每人次40元</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确保218名学生活动场地及教学设施设备完好</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确保教师参加培训，提升教育教学能力</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培训42人次，培训经费控制在1万元以内</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学生入学率、设备完好率</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培训合格率</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目标任务完成</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99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确保人员经费按时足额发放</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本年度安排29名教职工的工资252.99万元；3名遗属的生活补助和奖励2.29万元。</w:t>
            </w:r>
          </w:p>
        </w:tc>
      </w:tr>
      <w:tr>
        <w:tblPrEx>
          <w:shd w:val="clear" w:color="auto" w:fill="auto"/>
          <w:tblCellMar>
            <w:top w:w="0" w:type="dxa"/>
            <w:left w:w="0" w:type="dxa"/>
            <w:bottom w:w="0" w:type="dxa"/>
            <w:right w:w="0" w:type="dxa"/>
          </w:tblCellMar>
        </w:tblPrEx>
        <w:trPr>
          <w:trHeight w:val="108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公用经费确保学校工作正常开展</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本年度安排日常公用支出20万元，其他资本性支出1.08万元，用于购办公设备。</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三公经费在上年基础上有所下降</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58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79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稳定了教师队伍，提升教育质量</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增加职工收入，稳定教师队伍，促进义务教育均衡发展，全面提升教育教学质量。</w:t>
            </w:r>
          </w:p>
        </w:tc>
      </w:tr>
      <w:tr>
        <w:tblPrEx>
          <w:shd w:val="clear" w:color="auto" w:fill="auto"/>
          <w:tblCellMar>
            <w:top w:w="0" w:type="dxa"/>
            <w:left w:w="0" w:type="dxa"/>
            <w:bottom w:w="0" w:type="dxa"/>
            <w:right w:w="0" w:type="dxa"/>
          </w:tblCellMar>
        </w:tblPrEx>
        <w:trPr>
          <w:trHeight w:val="42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学校的发展</w:t>
            </w: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保障了学校稳步健康地发展。</w:t>
            </w:r>
          </w:p>
        </w:tc>
      </w:tr>
      <w:tr>
        <w:tblPrEx>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1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学生满意度</w:t>
            </w:r>
          </w:p>
        </w:tc>
        <w:tc>
          <w:tcPr>
            <w:tcW w:w="7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学生满意度100%</w:t>
            </w:r>
          </w:p>
        </w:tc>
        <w:tc>
          <w:tcPr>
            <w:tcW w:w="45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4"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5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群众满意度98%</w:t>
            </w:r>
          </w:p>
        </w:tc>
      </w:tr>
    </w:tbl>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p>
    <w:p>
      <w:pPr>
        <w:widowControl/>
        <w:adjustRightInd w:val="0"/>
        <w:snapToGrid w:val="0"/>
        <w:spacing w:line="580" w:lineRule="exact"/>
        <w:contextualSpacing/>
        <w:jc w:val="left"/>
        <w:rPr>
          <w:rFonts w:hint="eastAsia" w:ascii="宋体" w:hAnsi="宋体" w:eastAsia="宋体"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（一）评价结论。</w:t>
      </w:r>
    </w:p>
    <w:p>
      <w:pPr>
        <w:spacing w:line="560" w:lineRule="exact"/>
        <w:ind w:firstLine="640" w:firstLineChars="200"/>
        <w:rPr>
          <w:rFonts w:eastAsia="方正仿宋简体"/>
          <w:color w:val="000000"/>
          <w:sz w:val="32"/>
          <w:szCs w:val="32"/>
        </w:rPr>
      </w:pPr>
      <w:r>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三重一大”事项经过了办公会研究，“三公经费”逐年下降。单位依据财政资金管理办法切实做到专项专用，无截留、无挪用等现象。确保了年初各项预算指标的完成，预算整体支出绩效执行效果较好。</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（二）存在问题。</w:t>
      </w:r>
    </w:p>
    <w:p>
      <w:pPr>
        <w:spacing w:line="560" w:lineRule="exact"/>
        <w:ind w:firstLine="640" w:firstLineChars="200"/>
        <w:rPr>
          <w:rFonts w:eastAsia="黑体"/>
          <w:color w:val="000000"/>
          <w:sz w:val="44"/>
          <w:szCs w:val="44"/>
        </w:rPr>
      </w:pPr>
      <w:r>
        <w:rPr>
          <w:rFonts w:eastAsia="方正仿宋简体"/>
          <w:color w:val="000000"/>
          <w:sz w:val="32"/>
          <w:szCs w:val="32"/>
        </w:rPr>
        <w:t>单位对项目资金的绩效评价重视不够。注重项目资金的争取、项目建设工作，轻视项目资金的后续绩效评价工作，相关文件学习不深入，贯彻落实不到位。需要加强对项目绩效管理的培训。</w:t>
      </w:r>
    </w:p>
    <w:p>
      <w:pPr>
        <w:widowControl/>
        <w:jc w:val="left"/>
        <w:rPr>
          <w:rStyle w:val="29"/>
          <w:rFonts w:ascii="黑体" w:hAnsi="黑体" w:eastAsia="黑体"/>
          <w:b w:val="0"/>
        </w:rPr>
      </w:pPr>
    </w:p>
    <w:p>
      <w:pPr>
        <w:widowControl/>
        <w:jc w:val="left"/>
        <w:rPr>
          <w:rFonts w:ascii="宋体"/>
          <w:b/>
          <w:color w:val="000000"/>
          <w:sz w:val="44"/>
          <w:szCs w:val="44"/>
        </w:rPr>
      </w:pPr>
    </w:p>
    <w:p>
      <w:pPr>
        <w:widowControl/>
        <w:jc w:val="left"/>
        <w:rPr>
          <w:rFonts w:ascii="宋体"/>
          <w:b/>
          <w:color w:val="000000"/>
          <w:sz w:val="44"/>
          <w:szCs w:val="44"/>
        </w:rPr>
      </w:pPr>
    </w:p>
    <w:p>
      <w:pPr>
        <w:widowControl/>
        <w:jc w:val="left"/>
        <w:rPr>
          <w:rFonts w:ascii="宋体"/>
          <w:b/>
          <w:color w:val="000000"/>
          <w:sz w:val="44"/>
          <w:szCs w:val="44"/>
        </w:rPr>
      </w:pPr>
    </w:p>
    <w:p>
      <w:pPr>
        <w:spacing w:line="600" w:lineRule="exact"/>
        <w:jc w:val="center"/>
        <w:outlineLvl w:val="0"/>
        <w:rPr>
          <w:rFonts w:hint="eastAsia" w:ascii="黑体" w:hAnsi="黑体" w:eastAsia="黑体"/>
          <w:color w:val="000000"/>
          <w:sz w:val="44"/>
          <w:szCs w:val="44"/>
        </w:rPr>
      </w:pPr>
      <w:bookmarkStart w:id="57"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ind w:firstLine="3080" w:firstLineChars="700"/>
        <w:jc w:val="both"/>
        <w:outlineLvl w:val="0"/>
        <w:rPr>
          <w:rFonts w:hint="eastAsia" w:ascii="黑体" w:hAnsi="黑体" w:eastAsia="黑体"/>
          <w:color w:val="000000"/>
          <w:sz w:val="44"/>
          <w:szCs w:val="44"/>
        </w:rPr>
      </w:pPr>
    </w:p>
    <w:p>
      <w:pPr>
        <w:spacing w:line="600" w:lineRule="exact"/>
        <w:ind w:firstLine="3080" w:firstLineChars="700"/>
        <w:jc w:val="both"/>
        <w:outlineLvl w:val="0"/>
        <w:rPr>
          <w:rFonts w:hint="eastAsia" w:ascii="黑体" w:hAnsi="黑体" w:eastAsia="黑体"/>
          <w:color w:val="000000"/>
          <w:sz w:val="44"/>
          <w:szCs w:val="44"/>
        </w:rPr>
      </w:pPr>
    </w:p>
    <w:p>
      <w:pPr>
        <w:spacing w:line="600" w:lineRule="exact"/>
        <w:ind w:firstLine="3080" w:firstLineChars="700"/>
        <w:jc w:val="both"/>
        <w:outlineLvl w:val="0"/>
        <w:rPr>
          <w:rStyle w:val="24"/>
          <w:rFonts w:ascii="黑体" w:hAnsi="黑体" w:eastAsia="黑体"/>
          <w:b w:val="0"/>
        </w:rPr>
      </w:pPr>
      <w:r>
        <w:rPr>
          <w:rFonts w:hint="eastAsia" w:ascii="黑体" w:hAnsi="黑体" w:eastAsia="黑体"/>
          <w:color w:val="000000"/>
          <w:sz w:val="44"/>
          <w:szCs w:val="44"/>
        </w:rPr>
        <w:t>第</w:t>
      </w:r>
      <w:r>
        <w:rPr>
          <w:rFonts w:hint="eastAsia" w:ascii="黑体" w:hAnsi="黑体" w:eastAsia="黑体"/>
          <w:color w:val="000000"/>
          <w:sz w:val="44"/>
          <w:szCs w:val="44"/>
          <w:lang w:eastAsia="zh-CN"/>
        </w:rPr>
        <w:t>五</w:t>
      </w:r>
      <w:r>
        <w:rPr>
          <w:rStyle w:val="24"/>
          <w:rFonts w:hint="eastAsia" w:ascii="黑体" w:hAnsi="黑体" w:eastAsia="黑体"/>
          <w:b w:val="0"/>
        </w:rPr>
        <w:t>部分 附表</w:t>
      </w:r>
      <w:bookmarkEnd w:id="56"/>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3C38F53C"/>
    <w:multiLevelType w:val="singleLevel"/>
    <w:tmpl w:val="3C38F53C"/>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233E"/>
    <w:rsid w:val="0002549F"/>
    <w:rsid w:val="0006487A"/>
    <w:rsid w:val="00065F8F"/>
    <w:rsid w:val="000768F2"/>
    <w:rsid w:val="00081AAB"/>
    <w:rsid w:val="0009184B"/>
    <w:rsid w:val="0009593C"/>
    <w:rsid w:val="000B047F"/>
    <w:rsid w:val="000B5923"/>
    <w:rsid w:val="000B5A48"/>
    <w:rsid w:val="000B6FF3"/>
    <w:rsid w:val="000C2C8F"/>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56CC"/>
    <w:rsid w:val="003216A9"/>
    <w:rsid w:val="0037013F"/>
    <w:rsid w:val="00380C92"/>
    <w:rsid w:val="003872C5"/>
    <w:rsid w:val="003A484F"/>
    <w:rsid w:val="003B0BE0"/>
    <w:rsid w:val="003B0C1B"/>
    <w:rsid w:val="003B688C"/>
    <w:rsid w:val="003C0291"/>
    <w:rsid w:val="003C39AE"/>
    <w:rsid w:val="003C5DDF"/>
    <w:rsid w:val="003C6C60"/>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0650"/>
    <w:rsid w:val="004A711F"/>
    <w:rsid w:val="004B199D"/>
    <w:rsid w:val="004B4690"/>
    <w:rsid w:val="004C0A07"/>
    <w:rsid w:val="004C57E5"/>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17DE"/>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10E2"/>
    <w:rsid w:val="008423A5"/>
    <w:rsid w:val="00850625"/>
    <w:rsid w:val="00853718"/>
    <w:rsid w:val="00855221"/>
    <w:rsid w:val="00860645"/>
    <w:rsid w:val="00865D4F"/>
    <w:rsid w:val="00871F71"/>
    <w:rsid w:val="00885AF4"/>
    <w:rsid w:val="008939CD"/>
    <w:rsid w:val="008B768C"/>
    <w:rsid w:val="008C4DB1"/>
    <w:rsid w:val="008C4EAF"/>
    <w:rsid w:val="008C5176"/>
    <w:rsid w:val="008C7FD0"/>
    <w:rsid w:val="008E1DE7"/>
    <w:rsid w:val="008E707C"/>
    <w:rsid w:val="00900B08"/>
    <w:rsid w:val="00902155"/>
    <w:rsid w:val="00902FA3"/>
    <w:rsid w:val="00916451"/>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5E19"/>
    <w:rsid w:val="00C27FBC"/>
    <w:rsid w:val="00C33E72"/>
    <w:rsid w:val="00C354B2"/>
    <w:rsid w:val="00C35554"/>
    <w:rsid w:val="00C42709"/>
    <w:rsid w:val="00C533CC"/>
    <w:rsid w:val="00C5751C"/>
    <w:rsid w:val="00C61BFC"/>
    <w:rsid w:val="00C62B85"/>
    <w:rsid w:val="00C65438"/>
    <w:rsid w:val="00C91CBB"/>
    <w:rsid w:val="00CA5E29"/>
    <w:rsid w:val="00CA704F"/>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D4695"/>
    <w:rsid w:val="08FC45BB"/>
    <w:rsid w:val="0A8B5642"/>
    <w:rsid w:val="102E4D14"/>
    <w:rsid w:val="10C055FF"/>
    <w:rsid w:val="11F95DF1"/>
    <w:rsid w:val="12D37F4B"/>
    <w:rsid w:val="16BB723D"/>
    <w:rsid w:val="1BE33E30"/>
    <w:rsid w:val="22D119AA"/>
    <w:rsid w:val="240371BF"/>
    <w:rsid w:val="294F1CC9"/>
    <w:rsid w:val="29FD04D3"/>
    <w:rsid w:val="319F7F4E"/>
    <w:rsid w:val="3234256B"/>
    <w:rsid w:val="36AC7D80"/>
    <w:rsid w:val="37C312A2"/>
    <w:rsid w:val="39826D49"/>
    <w:rsid w:val="45117608"/>
    <w:rsid w:val="46A13436"/>
    <w:rsid w:val="4B2E75FE"/>
    <w:rsid w:val="4EB97A34"/>
    <w:rsid w:val="503D3D51"/>
    <w:rsid w:val="56D921AE"/>
    <w:rsid w:val="6BF25257"/>
    <w:rsid w:val="7BE930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character" w:customStyle="1" w:styleId="29">
    <w:name w:val="标题 1 Char"/>
    <w:basedOn w:val="13"/>
    <w:link w:val="2"/>
    <w:qFormat/>
    <w:uiPriority w:val="9"/>
    <w:rPr>
      <w:rFonts w:ascii="Times New Roman" w:hAnsi="Times New Roman"/>
      <w:b/>
      <w:bCs/>
      <w:kern w:val="44"/>
      <w:sz w:val="44"/>
      <w:szCs w:val="44"/>
    </w:rPr>
  </w:style>
  <w:style w:type="character" w:customStyle="1" w:styleId="30">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image" Target="media/image1.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24861111111111"/>
          <c:y val="0.0486111111111111"/>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[工作簿1]Sheet1!$G$8:$G$11</c:f>
              <c:strCache>
                <c:ptCount val="4"/>
                <c:pt idx="0">
                  <c:v>2019年收入</c:v>
                </c:pt>
                <c:pt idx="1">
                  <c:v>2020年收入</c:v>
                </c:pt>
                <c:pt idx="2">
                  <c:v>2019年支出</c:v>
                </c:pt>
                <c:pt idx="3">
                  <c:v>2020年支出</c:v>
                </c:pt>
              </c:strCache>
            </c:strRef>
          </c:cat>
          <c:val>
            <c:numRef>
              <c:f>[工作簿1]Sheet1!$H$8:$H$11</c:f>
              <c:numCache>
                <c:formatCode>General</c:formatCode>
                <c:ptCount val="4"/>
                <c:pt idx="0">
                  <c:v>326.52</c:v>
                </c:pt>
                <c:pt idx="1">
                  <c:v>354.56</c:v>
                </c:pt>
                <c:pt idx="2">
                  <c:v>326.52</c:v>
                </c:pt>
                <c:pt idx="3">
                  <c:v>354.55</c:v>
                </c:pt>
              </c:numCache>
            </c:numRef>
          </c:val>
        </c:ser>
        <c:dLbls>
          <c:showLegendKey val="0"/>
          <c:showVal val="0"/>
          <c:showCatName val="0"/>
          <c:showSerName val="0"/>
          <c:showPercent val="0"/>
          <c:showBubbleSize val="0"/>
        </c:dLbls>
        <c:gapWidth val="219"/>
        <c:overlap val="-27"/>
        <c:axId val="221057075"/>
        <c:axId val="526552806"/>
      </c:barChart>
      <c:catAx>
        <c:axId val="2210570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552806"/>
        <c:crosses val="autoZero"/>
        <c:auto val="1"/>
        <c:lblAlgn val="ctr"/>
        <c:lblOffset val="100"/>
        <c:noMultiLvlLbl val="0"/>
      </c:catAx>
      <c:valAx>
        <c:axId val="526552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0570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w="19050">
              <a:noFill/>
            </a:ln>
            <a:effectLst>
              <a:outerShdw blurRad="50800" dist="38100" dir="5400000" algn="t" rotWithShape="0">
                <a:prstClr val="black">
                  <a:alpha val="40000"/>
                </a:prstClr>
              </a:outerShdw>
            </a:effectLst>
          </c:spPr>
          <c:explosion val="4"/>
          <c:dPt>
            <c:idx val="0"/>
            <c:bubble3D val="0"/>
            <c:explosion val="0"/>
            <c:spPr>
              <a:solidFill>
                <a:srgbClr val="6F59FF"/>
              </a:solidFill>
              <a:ln w="19050">
                <a:noFill/>
              </a:ln>
              <a:effectLst>
                <a:outerShdw blurRad="50800" dist="38100" dir="5400000" algn="t" rotWithShape="0">
                  <a:prstClr val="black">
                    <a:alpha val="40000"/>
                  </a:prstClr>
                </a:outerShdw>
              </a:effectLst>
            </c:spPr>
          </c:dPt>
          <c:dPt>
            <c:idx val="1"/>
            <c:bubble3D val="0"/>
            <c:explosion val="0"/>
            <c:spPr>
              <a:solidFill>
                <a:srgbClr val="8063FF"/>
              </a:solidFill>
              <a:ln w="19050">
                <a:noFill/>
              </a:ln>
              <a:effectLst>
                <a:outerShdw blurRad="50800" dist="38100" dir="5400000" algn="t" rotWithShape="0">
                  <a:prstClr val="black">
                    <a:alpha val="40000"/>
                  </a:prstClr>
                </a:outerShdw>
              </a:effectLst>
            </c:spPr>
          </c:dPt>
          <c:dPt>
            <c:idx val="2"/>
            <c:bubble3D val="0"/>
            <c:explosion val="0"/>
            <c:spPr>
              <a:solidFill>
                <a:srgbClr val="8D6EFF"/>
              </a:solidFill>
              <a:ln w="19050">
                <a:noFill/>
              </a:ln>
              <a:effectLst>
                <a:outerShdw blurRad="50800" dist="38100" dir="5400000" algn="t" rotWithShape="0">
                  <a:prstClr val="black">
                    <a:alpha val="40000"/>
                  </a:prstClr>
                </a:outerShdw>
              </a:effectLst>
            </c:spPr>
          </c:dPt>
          <c:dLbls>
            <c:dLbl>
              <c:idx val="1"/>
              <c:layout>
                <c:manualLayout>
                  <c:x val="0.0958333333333333"/>
                  <c:y val="0.2951388888888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87508008762956"/>
                  <c:y val="0.3646296296320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[工作簿1]Sheet1!$B$14:$B$16</c:f>
              <c:strCache>
                <c:ptCount val="3"/>
                <c:pt idx="0">
                  <c:v>基本支出</c:v>
                </c:pt>
                <c:pt idx="1">
                  <c:v>项目支出</c:v>
                </c:pt>
                <c:pt idx="2">
                  <c:v>上缴上级支出</c:v>
                </c:pt>
              </c:strCache>
            </c:strRef>
          </c:cat>
          <c:val>
            <c:numRef>
              <c:f>[工作簿1]Sheet1!$C$14:$C$16</c:f>
              <c:numCache>
                <c:formatCode>General</c:formatCode>
                <c:ptCount val="3"/>
                <c:pt idx="0">
                  <c:v>354.55</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24861111111111"/>
          <c:y val="0.0486111111111111"/>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[工作簿1]Sheet1!$G$8:$G$11</c:f>
              <c:strCache>
                <c:ptCount val="4"/>
                <c:pt idx="0">
                  <c:v>2019年收入</c:v>
                </c:pt>
                <c:pt idx="1">
                  <c:v>2020年收入</c:v>
                </c:pt>
                <c:pt idx="2">
                  <c:v>2019年支出</c:v>
                </c:pt>
                <c:pt idx="3">
                  <c:v>2020年支出</c:v>
                </c:pt>
              </c:strCache>
            </c:strRef>
          </c:cat>
          <c:val>
            <c:numRef>
              <c:f>[工作簿1]Sheet1!$H$8:$H$11</c:f>
              <c:numCache>
                <c:formatCode>General</c:formatCode>
                <c:ptCount val="4"/>
                <c:pt idx="0">
                  <c:v>326.52</c:v>
                </c:pt>
                <c:pt idx="1">
                  <c:v>354.56</c:v>
                </c:pt>
                <c:pt idx="2">
                  <c:v>326.52</c:v>
                </c:pt>
                <c:pt idx="3">
                  <c:v>354.55</c:v>
                </c:pt>
              </c:numCache>
            </c:numRef>
          </c:val>
        </c:ser>
        <c:dLbls>
          <c:showLegendKey val="0"/>
          <c:showVal val="0"/>
          <c:showCatName val="0"/>
          <c:showSerName val="0"/>
          <c:showPercent val="0"/>
          <c:showBubbleSize val="0"/>
        </c:dLbls>
        <c:gapWidth val="219"/>
        <c:overlap val="-27"/>
        <c:axId val="221057075"/>
        <c:axId val="526552806"/>
      </c:barChart>
      <c:catAx>
        <c:axId val="2210570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552806"/>
        <c:crosses val="autoZero"/>
        <c:auto val="1"/>
        <c:lblAlgn val="ctr"/>
        <c:lblOffset val="100"/>
        <c:noMultiLvlLbl val="0"/>
      </c:catAx>
      <c:valAx>
        <c:axId val="526552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0570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1388888888889"/>
          <c:y val="0.0671296296296296"/>
          <c:w val="0.892138888888889"/>
          <c:h val="0.834814814814815"/>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[工作簿1]Sheet1!$G$8:$G$9</c:f>
              <c:strCache>
                <c:ptCount val="2"/>
                <c:pt idx="0">
                  <c:v>2019年收入</c:v>
                </c:pt>
                <c:pt idx="1">
                  <c:v>2020年收入</c:v>
                </c:pt>
              </c:strCache>
            </c:strRef>
          </c:cat>
          <c:val>
            <c:numRef>
              <c:f>[工作簿1]Sheet1!$H$8:$H$9</c:f>
              <c:numCache>
                <c:formatCode>General</c:formatCode>
                <c:ptCount val="2"/>
                <c:pt idx="0">
                  <c:v>326.52</c:v>
                </c:pt>
                <c:pt idx="1">
                  <c:v>354.56</c:v>
                </c:pt>
              </c:numCache>
            </c:numRef>
          </c:val>
        </c:ser>
        <c:dLbls>
          <c:showLegendKey val="0"/>
          <c:showVal val="1"/>
          <c:showCatName val="0"/>
          <c:showSerName val="0"/>
          <c:showPercent val="0"/>
          <c:showBubbleSize val="0"/>
        </c:dLbls>
        <c:gapWidth val="41"/>
        <c:overlap val="0"/>
        <c:axId val="845979290"/>
        <c:axId val="921259231"/>
      </c:barChart>
      <c:catAx>
        <c:axId val="845979290"/>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921259231"/>
        <c:crosses val="autoZero"/>
        <c:auto val="1"/>
        <c:lblAlgn val="ctr"/>
        <c:lblOffset val="100"/>
        <c:noMultiLvlLbl val="0"/>
      </c:catAx>
      <c:valAx>
        <c:axId val="9212592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84597929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[工作簿1]Sheet1!$G$35:$G$38</c:f>
              <c:strCache>
                <c:ptCount val="4"/>
                <c:pt idx="0">
                  <c:v>教育支出</c:v>
                </c:pt>
                <c:pt idx="1">
                  <c:v>社会保障和就业（类）支出</c:v>
                </c:pt>
                <c:pt idx="2">
                  <c:v>医疗卫生支出</c:v>
                </c:pt>
                <c:pt idx="3">
                  <c:v>住房保障支出</c:v>
                </c:pt>
              </c:strCache>
            </c:strRef>
          </c:cat>
          <c:val>
            <c:numRef>
              <c:f>[工作簿1]Sheet1!$H$35:$H$38</c:f>
              <c:numCache>
                <c:formatCode>General</c:formatCode>
                <c:ptCount val="4"/>
                <c:pt idx="0">
                  <c:v>282.19</c:v>
                </c:pt>
                <c:pt idx="1">
                  <c:v>32.2</c:v>
                </c:pt>
                <c:pt idx="2">
                  <c:v>16.01</c:v>
                </c:pt>
                <c:pt idx="3">
                  <c:v>24.15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630D9-D213-4BC0-9F61-5874E0A38DF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1270</Words>
  <Characters>7244</Characters>
  <Lines>60</Lines>
  <Paragraphs>16</Paragraphs>
  <TotalTime>3</TotalTime>
  <ScaleCrop>false</ScaleCrop>
  <LinksUpToDate>false</LinksUpToDate>
  <CharactersWithSpaces>8498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2021-10-28T09:53:25Z</dcterms:modified>
  <dc:title>四川省***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8D7210141CC1461280F1C1987C800B3F</vt:lpwstr>
  </property>
</Properties>
</file>