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8441"/>
      <w:bookmarkStart w:id="2" w:name="_Toc15377193"/>
      <w:bookmarkStart w:id="3" w:name="_Toc15396475"/>
      <w:bookmarkStart w:id="4" w:name="_Toc15396597"/>
      <w:bookmarkStart w:id="5" w:name="_Toc15377425"/>
      <w:r>
        <w:rPr>
          <w:rFonts w:hint="eastAsia" w:ascii="黑体" w:hAnsi="黑体" w:eastAsia="黑体"/>
          <w:color w:val="000000"/>
          <w:sz w:val="72"/>
          <w:szCs w:val="72"/>
          <w:lang w:eastAsia="zh-CN"/>
        </w:rPr>
        <w:t>2020</w:t>
      </w:r>
      <w:r>
        <w:rPr>
          <w:rFonts w:hint="eastAsia" w:ascii="方正小标宋简体" w:hAnsi="宋体" w:eastAsia="方正小标宋简体"/>
          <w:color w:val="000000"/>
          <w:sz w:val="72"/>
          <w:szCs w:val="72"/>
        </w:rPr>
        <w:t>年度</w:t>
      </w:r>
      <w:bookmarkEnd w:id="1"/>
      <w:bookmarkEnd w:id="2"/>
      <w:bookmarkEnd w:id="3"/>
      <w:bookmarkEnd w:id="4"/>
      <w:bookmarkEnd w:id="5"/>
    </w:p>
    <w:bookmarkEnd w:id="0"/>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8442"/>
      <w:bookmarkStart w:id="7" w:name="_Toc15377194"/>
      <w:bookmarkStart w:id="8" w:name="_Toc15306268"/>
      <w:bookmarkStart w:id="9" w:name="_Toc15396476"/>
      <w:bookmarkStart w:id="10" w:name="_Toc15377426"/>
      <w:bookmarkStart w:id="11" w:name="_Toc15396598"/>
      <w:r>
        <w:rPr>
          <w:rFonts w:hint="eastAsia" w:ascii="方正小标宋简体" w:hAnsi="宋体" w:eastAsia="方正小标宋简体"/>
          <w:color w:val="000000"/>
          <w:sz w:val="72"/>
          <w:szCs w:val="72"/>
        </w:rPr>
        <w:t>四川省达州市开江县</w:t>
      </w:r>
      <w:r>
        <w:rPr>
          <w:rFonts w:hint="eastAsia" w:ascii="方正小标宋简体" w:hAnsi="宋体" w:eastAsia="方正小标宋简体"/>
          <w:color w:val="000000"/>
          <w:sz w:val="72"/>
          <w:szCs w:val="72"/>
          <w:lang w:eastAsia="zh-CN"/>
        </w:rPr>
        <w:t>八庙镇</w:t>
      </w:r>
      <w:r>
        <w:rPr>
          <w:rFonts w:hint="eastAsia" w:ascii="方正小标宋简体" w:hAnsi="宋体" w:eastAsia="方正小标宋简体"/>
          <w:color w:val="000000"/>
          <w:sz w:val="72"/>
          <w:szCs w:val="72"/>
        </w:rPr>
        <w:t>中心小学部门决算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w:t>
      </w:r>
      <w:r>
        <w:rPr>
          <w:rFonts w:hint="eastAsia"/>
          <w:lang w:eastAsia="zh-CN"/>
        </w:rPr>
        <w:t>2020</w:t>
      </w:r>
      <w:r>
        <w:rPr>
          <w:rFonts w:hint="eastAsia"/>
        </w:rPr>
        <w:t>年</w:t>
      </w:r>
      <w:r>
        <w:rPr>
          <w:rFonts w:hint="eastAsia"/>
          <w:lang w:val="en-US" w:eastAsia="zh-CN"/>
        </w:rPr>
        <w:t>10</w:t>
      </w:r>
      <w:r>
        <w:rPr>
          <w:rFonts w:hint="eastAsia"/>
        </w:rPr>
        <w:t>月</w:t>
      </w:r>
      <w:r>
        <w:rPr>
          <w:rFonts w:hint="eastAsia" w:ascii="Times New Roman" w:hAnsi="Times New Roman" w:eastAsia="方正仿宋简体" w:cs="Times New Roman"/>
          <w:color w:val="000000"/>
          <w:kern w:val="2"/>
          <w:sz w:val="32"/>
          <w:szCs w:val="32"/>
          <w:lang w:val="en-US" w:eastAsia="zh-CN" w:bidi="ar-SA"/>
        </w:rPr>
        <w:t>8</w:t>
      </w:r>
      <w:r>
        <w:rPr>
          <w:rFonts w:hint="eastAsia"/>
        </w:rPr>
        <w:t>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w:t>
      </w:r>
      <w:r>
        <w:rPr>
          <w:rStyle w:val="15"/>
          <w:rFonts w:hint="eastAsia"/>
          <w:lang w:eastAsia="zh-CN"/>
        </w:rPr>
        <w:t>2020</w:t>
      </w:r>
      <w:r>
        <w:rPr>
          <w:rStyle w:val="15"/>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fldChar w:fldCharType="begin"/>
      </w:r>
      <w:r>
        <w:instrText xml:space="preserve"> PAGEREF _Toc15396613 \h </w:instrText>
      </w:r>
      <w:r>
        <w:fldChar w:fldCharType="separate"/>
      </w:r>
      <w:r>
        <w:t>12</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fldChar w:fldCharType="begin"/>
      </w:r>
      <w:r>
        <w:instrText xml:space="preserve"> PAGEREF _Toc15396614 \h </w:instrText>
      </w:r>
      <w:r>
        <w:fldChar w:fldCharType="separate"/>
      </w:r>
      <w:r>
        <w:t>14</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b/>
        </w:rPr>
        <w:t>错误！未定义书签。</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fldChar w:fldCharType="begin"/>
      </w:r>
      <w:r>
        <w:instrText xml:space="preserve"> PAGEREF _Toc15396618 \h </w:instrText>
      </w:r>
      <w:r>
        <w:fldChar w:fldCharType="separate"/>
      </w:r>
      <w:r>
        <w:t>18</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p>
    <w:bookmarkEnd w:id="16"/>
    <w:bookmarkEnd w:id="17"/>
    <w:p>
      <w:pPr>
        <w:pStyle w:val="5"/>
        <w:adjustRightInd w:val="0"/>
        <w:snapToGrid w:val="0"/>
        <w:spacing w:before="93" w:line="600" w:lineRule="exact"/>
        <w:ind w:firstLine="672" w:firstLineChars="210"/>
        <w:rPr>
          <w:rStyle w:val="15"/>
          <w:rFonts w:hint="eastAsia" w:ascii="仿宋" w:hAnsi="仿宋" w:eastAsia="仿宋" w:cs="Times New Roman"/>
          <w:color w:val="auto"/>
          <w:kern w:val="2"/>
          <w:sz w:val="28"/>
          <w:szCs w:val="28"/>
          <w:u w:val="none"/>
          <w:lang w:val="en-US" w:eastAsia="zh-CN" w:bidi="ar-SA"/>
        </w:rPr>
      </w:pPr>
      <w:bookmarkStart w:id="18" w:name="_Toc15378446"/>
      <w:bookmarkStart w:id="19" w:name="_Toc15377199"/>
      <w:r>
        <w:rPr>
          <w:rFonts w:hint="eastAsia" w:ascii="Times New Roman" w:hAnsi="Times New Roman" w:eastAsia="方正仿宋简体" w:cs="Times New Roman"/>
          <w:color w:val="000000"/>
          <w:kern w:val="2"/>
          <w:sz w:val="32"/>
          <w:szCs w:val="32"/>
          <w:lang w:val="en-US" w:eastAsia="zh-CN" w:bidi="ar-SA"/>
        </w:rPr>
        <w:t>开江县八庙镇中心小学是一所完全农村小学，主要实施小学义务教育，促进基础教育发展，进行小学学历教育及相关社会服务。</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（二）</w:t>
      </w:r>
      <w:r>
        <w:rPr>
          <w:rFonts w:hint="eastAsia" w:ascii="仿宋" w:hAnsi="仿宋" w:eastAsia="仿宋"/>
          <w:bCs/>
          <w:color w:val="000000"/>
          <w:sz w:val="32"/>
          <w:szCs w:val="32"/>
          <w:lang w:eastAsia="zh-CN"/>
        </w:rPr>
        <w:t>2020</w:t>
      </w:r>
      <w:r>
        <w:rPr>
          <w:rFonts w:hint="eastAsia" w:ascii="仿宋" w:hAnsi="仿宋" w:eastAsia="仿宋"/>
          <w:bCs/>
          <w:color w:val="000000"/>
          <w:sz w:val="32"/>
          <w:szCs w:val="32"/>
        </w:rPr>
        <w:t>年重点工作完成情况</w:t>
      </w:r>
      <w:bookmarkEnd w:id="18"/>
      <w:bookmarkEnd w:id="19"/>
    </w:p>
    <w:p>
      <w:pPr>
        <w:pStyle w:val="5"/>
        <w:adjustRightInd w:val="0"/>
        <w:snapToGrid w:val="0"/>
        <w:spacing w:before="93" w:line="600" w:lineRule="exact"/>
        <w:ind w:firstLine="672" w:firstLineChars="210"/>
        <w:rPr>
          <w:rFonts w:hint="eastAsia" w:ascii="Times New Roman" w:hAnsi="Times New Roman" w:eastAsia="方正仿宋简体" w:cs="Times New Roman"/>
          <w:color w:val="000000"/>
          <w:kern w:val="2"/>
          <w:sz w:val="32"/>
          <w:szCs w:val="32"/>
          <w:lang w:val="en-US" w:eastAsia="zh-CN" w:bidi="ar-SA"/>
        </w:rPr>
      </w:pPr>
      <w:r>
        <w:rPr>
          <w:rFonts w:hint="eastAsia" w:ascii="Times New Roman" w:hAnsi="Times New Roman" w:eastAsia="方正仿宋简体" w:cs="Times New Roman"/>
          <w:color w:val="000000"/>
          <w:kern w:val="2"/>
          <w:sz w:val="32"/>
          <w:szCs w:val="32"/>
          <w:lang w:val="en-US" w:eastAsia="zh-CN" w:bidi="ar-SA"/>
        </w:rPr>
        <w:t>学校全面贯彻党的教育方针政策，加强教师队伍建设，加强党的建设，加强义务教育均衡发展建设，加强学生素质能力的培养，提升教学质量，办人民满意教育。</w:t>
      </w:r>
    </w:p>
    <w:p>
      <w:pPr>
        <w:pStyle w:val="3"/>
        <w:rPr>
          <w:rStyle w:val="25"/>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pStyle w:val="5"/>
        <w:adjustRightInd w:val="0"/>
        <w:snapToGrid w:val="0"/>
        <w:spacing w:before="93" w:line="600" w:lineRule="exact"/>
        <w:ind w:firstLine="672" w:firstLineChars="210"/>
        <w:rPr>
          <w:rFonts w:hint="eastAsia" w:ascii="Times New Roman" w:hAnsi="Times New Roman" w:eastAsia="方正仿宋简体" w:cs="Times New Roman"/>
          <w:color w:val="000000"/>
          <w:kern w:val="2"/>
          <w:sz w:val="32"/>
          <w:szCs w:val="32"/>
          <w:lang w:val="en-US" w:eastAsia="zh-CN" w:bidi="ar-SA"/>
        </w:rPr>
      </w:pPr>
      <w:r>
        <w:rPr>
          <w:rFonts w:hint="eastAsia" w:ascii="Times New Roman" w:hAnsi="Times New Roman" w:eastAsia="方正仿宋简体" w:cs="Times New Roman"/>
          <w:color w:val="000000"/>
          <w:kern w:val="2"/>
          <w:sz w:val="32"/>
          <w:szCs w:val="32"/>
          <w:lang w:val="en-US" w:eastAsia="zh-CN" w:bidi="ar-SA"/>
        </w:rPr>
        <w:t>开江县八庙镇中心小学具有独立编制和独立核算的机构1个。小学教学班18个，学生数801人，定编教职工59人。</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24"/>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lang w:eastAsia="zh-CN"/>
        </w:rPr>
        <w:t>2020</w:t>
      </w:r>
      <w:r>
        <w:rPr>
          <w:rStyle w:val="24"/>
          <w:rFonts w:hint="eastAsia" w:ascii="黑体" w:hAnsi="黑体" w:eastAsia="黑体"/>
          <w:b w:val="0"/>
          <w:bCs w:val="0"/>
        </w:rPr>
        <w:t>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pStyle w:val="5"/>
        <w:adjustRightInd w:val="0"/>
        <w:snapToGrid w:val="0"/>
        <w:spacing w:before="93" w:line="600" w:lineRule="exact"/>
        <w:ind w:firstLine="672" w:firstLineChars="210"/>
        <w:rPr>
          <w:rFonts w:hint="eastAsia" w:ascii="Times New Roman" w:hAnsi="Times New Roman" w:eastAsia="方正仿宋简体" w:cs="Times New Roman"/>
          <w:color w:val="000000"/>
          <w:kern w:val="2"/>
          <w:sz w:val="32"/>
          <w:szCs w:val="32"/>
          <w:lang w:val="en-US" w:eastAsia="zh-CN" w:bidi="ar-SA"/>
        </w:rPr>
      </w:pPr>
      <w:r>
        <w:rPr>
          <w:rFonts w:hint="eastAsia" w:ascii="Times New Roman" w:hAnsi="Times New Roman" w:eastAsia="方正仿宋简体" w:cs="Times New Roman"/>
          <w:color w:val="000000"/>
          <w:kern w:val="2"/>
          <w:sz w:val="32"/>
          <w:szCs w:val="32"/>
          <w:lang w:val="en-US" w:eastAsia="zh-CN" w:bidi="ar-SA"/>
        </w:rPr>
        <w:t>2020年度收入总计742.81万元，与2019年1235.77相比，收入增加492.96万元，减少39.89%。支出742.81万元，与2019年相比，支出增加492.96万元，减少39.89%。主要变动原因是工程款减少。</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pPr>
        <w:spacing w:line="600" w:lineRule="exact"/>
        <w:ind w:firstLine="560" w:firstLineChars="200"/>
        <w:jc w:val="left"/>
        <w:rPr>
          <w:rFonts w:ascii="仿宋_GB2312" w:eastAsia="仿宋_GB2312"/>
          <w:color w:val="000000"/>
          <w:sz w:val="32"/>
          <w:szCs w:val="32"/>
        </w:rPr>
      </w:pPr>
      <w:r>
        <w:rPr>
          <w:rFonts w:hint="eastAsia" w:ascii="宋体" w:hAnsi="宋体" w:eastAsia="宋体" w:cs="宋体"/>
          <w:sz w:val="28"/>
          <w:szCs w:val="28"/>
          <w:lang w:eastAsia="zh-CN"/>
        </w:rPr>
        <w:drawing>
          <wp:anchor distT="0" distB="0" distL="114300" distR="114300" simplePos="0" relativeHeight="251672576" behindDoc="0" locked="0" layoutInCell="1" allowOverlap="1">
            <wp:simplePos x="0" y="0"/>
            <wp:positionH relativeFrom="column">
              <wp:posOffset>9525</wp:posOffset>
            </wp:positionH>
            <wp:positionV relativeFrom="paragraph">
              <wp:posOffset>77470</wp:posOffset>
            </wp:positionV>
            <wp:extent cx="4765675" cy="2839085"/>
            <wp:effectExtent l="5080" t="4445" r="10795" b="13970"/>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jc w:val="left"/>
        <w:rPr>
          <w:rFonts w:ascii="仿宋_GB2312" w:eastAsia="仿宋_GB2312"/>
          <w:color w:val="000000"/>
          <w:sz w:val="32"/>
          <w:szCs w:val="32"/>
        </w:rPr>
      </w:pPr>
    </w:p>
    <w:p>
      <w:pPr>
        <w:spacing w:line="600" w:lineRule="exact"/>
        <w:jc w:val="left"/>
        <w:rPr>
          <w:rFonts w:ascii="仿宋_GB2312" w:eastAsia="仿宋_GB2312"/>
          <w:color w:val="00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hint="eastAsia" w:ascii="Times New Roman" w:hAnsi="Times New Roman" w:eastAsia="方正仿宋简体" w:cs="Times New Roman"/>
          <w:color w:val="000000"/>
          <w:kern w:val="2"/>
          <w:sz w:val="32"/>
          <w:szCs w:val="32"/>
          <w:lang w:val="en-US" w:eastAsia="zh-CN" w:bidi="ar-SA"/>
        </w:rPr>
        <w:t>2020年本年收入合计742.81万元，其中：一般公共预算财政拨款收入742.81万元，占100%；政府性基金预算财政拨款收入0万元，占0%；国有资本经营预算财政拨款收入0万元，占0%；事业收入0万元，占0%；经营收入0万元，占0%；附属单位上缴收入0万元，占0%；其他收入0万元，</w:t>
      </w:r>
      <w:r>
        <w:rPr>
          <w:rFonts w:hint="eastAsia" w:ascii="仿宋" w:hAnsi="仿宋" w:eastAsia="仿宋"/>
          <w:color w:val="000000"/>
          <w:sz w:val="32"/>
          <w:szCs w:val="32"/>
        </w:rPr>
        <w:t>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（图2：收入决算结构图）（饼状图）</w:t>
      </w:r>
    </w:p>
    <w:p>
      <w:pPr>
        <w:spacing w:line="600" w:lineRule="exact"/>
        <w:ind w:firstLine="560" w:firstLineChars="200"/>
        <w:rPr>
          <w:rFonts w:ascii="仿宋_GB2312" w:eastAsia="仿宋_GB2312"/>
          <w:color w:val="FF0000"/>
          <w:sz w:val="32"/>
          <w:szCs w:val="32"/>
        </w:rPr>
      </w:pPr>
      <w:r>
        <w:rPr>
          <w:rFonts w:hint="eastAsia" w:ascii="宋体" w:hAnsi="宋体" w:eastAsia="宋体" w:cs="宋体"/>
          <w:sz w:val="28"/>
          <w:szCs w:val="28"/>
        </w:rPr>
        <w:drawing>
          <wp:anchor distT="0" distB="0" distL="114300" distR="114300" simplePos="0" relativeHeight="251674624" behindDoc="0" locked="0" layoutInCell="1" allowOverlap="1">
            <wp:simplePos x="0" y="0"/>
            <wp:positionH relativeFrom="column">
              <wp:posOffset>161925</wp:posOffset>
            </wp:positionH>
            <wp:positionV relativeFrom="paragraph">
              <wp:posOffset>209550</wp:posOffset>
            </wp:positionV>
            <wp:extent cx="4267835" cy="2163445"/>
            <wp:effectExtent l="4445" t="5080" r="13970" b="22225"/>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rPr>
          <w:rFonts w:ascii="仿宋_GB2312" w:eastAsia="仿宋_GB2312"/>
          <w:color w:val="FF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firstLineChars="200"/>
        <w:outlineLvl w:val="1"/>
        <w:rPr>
          <w:rFonts w:hint="eastAsia" w:ascii="Times New Roman" w:hAnsi="Times New Roman" w:eastAsia="方正仿宋简体" w:cs="Times New Roman"/>
          <w:color w:val="000000"/>
          <w:kern w:val="2"/>
          <w:sz w:val="32"/>
          <w:szCs w:val="32"/>
          <w:lang w:val="en-US" w:eastAsia="zh-CN" w:bidi="ar-SA"/>
        </w:rPr>
      </w:pPr>
      <w:r>
        <w:rPr>
          <w:rFonts w:hint="eastAsia" w:ascii="Times New Roman" w:hAnsi="Times New Roman" w:eastAsia="方正仿宋简体" w:cs="Times New Roman"/>
          <w:color w:val="000000"/>
          <w:kern w:val="2"/>
          <w:sz w:val="32"/>
          <w:szCs w:val="32"/>
          <w:lang w:val="en-US" w:eastAsia="zh-CN" w:bidi="ar-SA"/>
        </w:rPr>
        <w:t>2020年本年支出合计742.81万元，其中：基本支出742.81万元，占100%；项目支出0万元，占0%；上缴上级支出0万元，占0%；经营支出0万元，占0%；对附属单位补助支出0万元，占0%。</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（图3：支出决算结构图）（饼状图）</w:t>
      </w:r>
    </w:p>
    <w:p>
      <w:pPr>
        <w:spacing w:line="600" w:lineRule="exact"/>
        <w:ind w:firstLine="560" w:firstLineChars="200"/>
        <w:rPr>
          <w:rFonts w:ascii="仿宋_GB2312" w:eastAsia="仿宋_GB2312"/>
          <w:color w:val="FF0000"/>
          <w:sz w:val="32"/>
          <w:szCs w:val="32"/>
        </w:rPr>
      </w:pPr>
      <w:r>
        <w:rPr>
          <w:rFonts w:hint="eastAsia" w:ascii="宋体" w:hAnsi="宋体" w:eastAsia="宋体" w:cs="宋体"/>
          <w:color w:val="000000"/>
          <w:sz w:val="28"/>
          <w:szCs w:val="28"/>
          <w:lang w:val="en-US" w:eastAsia="zh-CN"/>
        </w:rPr>
        <w:drawing>
          <wp:anchor distT="0" distB="0" distL="114300" distR="114300" simplePos="0" relativeHeight="251678720" behindDoc="0" locked="0" layoutInCell="1" allowOverlap="1">
            <wp:simplePos x="0" y="0"/>
            <wp:positionH relativeFrom="column">
              <wp:posOffset>361950</wp:posOffset>
            </wp:positionH>
            <wp:positionV relativeFrom="paragraph">
              <wp:posOffset>66675</wp:posOffset>
            </wp:positionV>
            <wp:extent cx="4234815" cy="2515235"/>
            <wp:effectExtent l="4445" t="4445" r="8890" b="1397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rPr>
          <w:rFonts w:ascii="仿宋_GB2312" w:eastAsia="仿宋_GB2312"/>
          <w:color w:val="FF0000"/>
          <w:sz w:val="32"/>
          <w:szCs w:val="32"/>
        </w:rPr>
      </w:pPr>
    </w:p>
    <w:p>
      <w:pPr>
        <w:numPr>
          <w:ilvl w:val="0"/>
          <w:numId w:val="1"/>
        </w:numPr>
        <w:spacing w:line="600" w:lineRule="exact"/>
        <w:ind w:left="1360" w:leftChars="0" w:hanging="720" w:firstLineChars="0"/>
        <w:outlineLvl w:val="1"/>
        <w:rPr>
          <w:rStyle w:val="25"/>
          <w:rFonts w:hint="eastAsia" w:ascii="黑体" w:hAnsi="黑体" w:eastAsia="黑体"/>
          <w:b w:val="0"/>
        </w:rPr>
      </w:pPr>
      <w:bookmarkStart w:id="30" w:name="_Toc15396606"/>
      <w:bookmarkStart w:id="31" w:name="_Toc15377208"/>
      <w:r>
        <w:rPr>
          <w:rFonts w:hint="eastAsia" w:ascii="黑体" w:hAnsi="黑体" w:eastAsia="黑体"/>
          <w:color w:val="000000"/>
          <w:sz w:val="32"/>
          <w:szCs w:val="32"/>
        </w:rPr>
        <w:t>财</w:t>
      </w:r>
      <w:r>
        <w:rPr>
          <w:rStyle w:val="25"/>
          <w:rFonts w:hint="eastAsia" w:ascii="黑体" w:hAnsi="黑体" w:eastAsia="黑体"/>
          <w:b w:val="0"/>
        </w:rPr>
        <w:t>政拨款收入支出决算总体情况说明</w:t>
      </w:r>
      <w:bookmarkEnd w:id="30"/>
      <w:bookmarkEnd w:id="31"/>
    </w:p>
    <w:p>
      <w:pPr>
        <w:spacing w:line="600" w:lineRule="exact"/>
        <w:ind w:firstLine="640" w:firstLineChars="200"/>
        <w:outlineLvl w:val="1"/>
        <w:rPr>
          <w:rFonts w:hint="eastAsia" w:ascii="Times New Roman" w:hAnsi="Times New Roman" w:eastAsia="方正仿宋简体" w:cs="Times New Roman"/>
          <w:color w:val="000000"/>
          <w:kern w:val="2"/>
          <w:sz w:val="32"/>
          <w:szCs w:val="32"/>
          <w:lang w:val="en-US" w:eastAsia="zh-CN" w:bidi="ar-SA"/>
        </w:rPr>
      </w:pPr>
      <w:r>
        <w:rPr>
          <w:rFonts w:hint="eastAsia" w:ascii="Times New Roman" w:hAnsi="Times New Roman" w:eastAsia="方正仿宋简体" w:cs="Times New Roman"/>
          <w:color w:val="000000"/>
          <w:kern w:val="2"/>
          <w:sz w:val="32"/>
          <w:szCs w:val="32"/>
          <w:lang w:val="en-US" w:eastAsia="zh-CN" w:bidi="ar-SA"/>
        </w:rPr>
        <w:t>2020年度收入总计742.81万元，与2019年1235.77相比，收入增加492.96万元，减少39.89%。支出742.81万元，与2019年相比，支出增加492.96万元，减少39.89%。主要变动原因是工程款减少。</w:t>
      </w:r>
    </w:p>
    <w:p>
      <w:pPr>
        <w:spacing w:line="600" w:lineRule="exact"/>
        <w:ind w:firstLine="640" w:firstLineChars="200"/>
        <w:outlineLvl w:val="1"/>
        <w:rPr>
          <w:rFonts w:hint="eastAsia" w:ascii="Times New Roman" w:hAnsi="Times New Roman" w:eastAsia="方正仿宋简体" w:cs="Times New Roman"/>
          <w:color w:val="000000"/>
          <w:kern w:val="2"/>
          <w:sz w:val="32"/>
          <w:szCs w:val="32"/>
          <w:lang w:val="en-US" w:eastAsia="zh-CN" w:bidi="ar-SA"/>
        </w:rPr>
      </w:pPr>
      <w:r>
        <w:rPr>
          <w:rFonts w:hint="eastAsia" w:ascii="Times New Roman" w:hAnsi="Times New Roman" w:eastAsia="方正仿宋简体" w:cs="Times New Roman"/>
          <w:color w:val="000000"/>
          <w:kern w:val="2"/>
          <w:sz w:val="32"/>
          <w:szCs w:val="32"/>
          <w:lang w:val="en-US" w:eastAsia="zh-CN" w:bidi="ar-SA"/>
        </w:rPr>
        <w:t>（图4：财政拨款收、支决算总计变动情况）（柱状图）</w:t>
      </w:r>
    </w:p>
    <w:p>
      <w:pPr>
        <w:spacing w:line="600" w:lineRule="exact"/>
        <w:ind w:firstLine="562" w:firstLineChars="200"/>
        <w:rPr>
          <w:rFonts w:ascii="仿宋" w:hAnsi="仿宋" w:eastAsia="仿宋"/>
          <w:color w:val="000000" w:themeColor="text1"/>
          <w:sz w:val="32"/>
          <w:szCs w:val="32"/>
          <w14:textFill>
            <w14:solidFill>
              <w14:schemeClr w14:val="tx1"/>
            </w14:solidFill>
          </w14:textFill>
        </w:rPr>
      </w:pPr>
      <w:r>
        <w:rPr>
          <w:rFonts w:hint="eastAsia" w:ascii="宋体" w:hAnsi="宋体" w:eastAsia="宋体" w:cs="宋体"/>
          <w:b/>
          <w:color w:val="000000"/>
          <w:sz w:val="28"/>
          <w:szCs w:val="28"/>
          <w:lang w:eastAsia="zh-CN"/>
        </w:rPr>
        <w:drawing>
          <wp:anchor distT="0" distB="0" distL="114300" distR="114300" simplePos="0" relativeHeight="251681792" behindDoc="0" locked="0" layoutInCell="1" allowOverlap="1">
            <wp:simplePos x="0" y="0"/>
            <wp:positionH relativeFrom="column">
              <wp:posOffset>180975</wp:posOffset>
            </wp:positionH>
            <wp:positionV relativeFrom="paragraph">
              <wp:posOffset>371475</wp:posOffset>
            </wp:positionV>
            <wp:extent cx="4585335" cy="2810510"/>
            <wp:effectExtent l="4445" t="4445" r="20320" b="23495"/>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outlineLvl w:val="1"/>
        <w:rPr>
          <w:rStyle w:val="25"/>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outlineLvl w:val="1"/>
        <w:rPr>
          <w:rFonts w:hint="eastAsia" w:ascii="Times New Roman" w:hAnsi="Times New Roman" w:eastAsia="方正仿宋简体" w:cs="Times New Roman"/>
          <w:color w:val="000000"/>
          <w:kern w:val="2"/>
          <w:sz w:val="32"/>
          <w:szCs w:val="32"/>
          <w:lang w:val="en-US" w:eastAsia="zh-CN" w:bidi="ar-SA"/>
        </w:rPr>
      </w:pPr>
      <w:r>
        <w:rPr>
          <w:rFonts w:hint="eastAsia" w:ascii="Times New Roman" w:hAnsi="Times New Roman" w:eastAsia="方正仿宋简体" w:cs="Times New Roman"/>
          <w:color w:val="000000"/>
          <w:kern w:val="2"/>
          <w:sz w:val="32"/>
          <w:szCs w:val="32"/>
          <w:lang w:val="en-US" w:eastAsia="zh-CN" w:bidi="ar-SA"/>
        </w:rPr>
        <w:t>2020年度收入总计742.81万元，与2019年1235.77相比，收入增加492.96万元，减少39.89%。支出742.81万元，与2019年相比，支出增加492.96万元，减少39.89%。主要变动原因是工程款减少。</w:t>
      </w:r>
    </w:p>
    <w:p>
      <w:pPr>
        <w:spacing w:line="600" w:lineRule="exact"/>
        <w:ind w:firstLine="640" w:firstLineChars="200"/>
        <w:outlineLvl w:val="1"/>
        <w:rPr>
          <w:rFonts w:hint="eastAsia" w:ascii="Times New Roman" w:hAnsi="Times New Roman" w:eastAsia="方正仿宋简体" w:cs="Times New Roman"/>
          <w:color w:val="000000"/>
          <w:kern w:val="2"/>
          <w:sz w:val="32"/>
          <w:szCs w:val="32"/>
          <w:lang w:val="en-US" w:eastAsia="zh-CN" w:bidi="ar-SA"/>
        </w:rPr>
      </w:pPr>
      <w:r>
        <w:rPr>
          <w:rFonts w:hint="eastAsia" w:ascii="Times New Roman" w:hAnsi="Times New Roman" w:eastAsia="方正仿宋简体" w:cs="Times New Roman"/>
          <w:color w:val="000000"/>
          <w:kern w:val="2"/>
          <w:sz w:val="32"/>
          <w:szCs w:val="32"/>
          <w:lang w:val="en-US" w:eastAsia="zh-CN" w:bidi="ar-SA"/>
        </w:rPr>
        <w:t>（图5：一般公共预算财政拨款支出决算变动情况）（柱状图）</w:t>
      </w:r>
    </w:p>
    <w:p>
      <w:pPr>
        <w:spacing w:line="600" w:lineRule="exact"/>
        <w:ind w:firstLine="640" w:firstLineChars="200"/>
        <w:outlineLvl w:val="1"/>
        <w:rPr>
          <w:rFonts w:hint="eastAsia" w:ascii="Times New Roman" w:hAnsi="Times New Roman" w:eastAsia="方正仿宋简体" w:cs="Times New Roman"/>
          <w:color w:val="000000"/>
          <w:kern w:val="2"/>
          <w:sz w:val="32"/>
          <w:szCs w:val="32"/>
          <w:lang w:val="en-US" w:eastAsia="zh-CN" w:bidi="ar-SA"/>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560" w:firstLineChars="200"/>
        <w:rPr>
          <w:rFonts w:ascii="仿宋" w:hAnsi="仿宋" w:eastAsia="仿宋"/>
          <w:color w:val="000000" w:themeColor="text1"/>
          <w:sz w:val="32"/>
          <w:szCs w:val="32"/>
          <w14:textFill>
            <w14:solidFill>
              <w14:schemeClr w14:val="tx1"/>
            </w14:solidFill>
          </w14:textFill>
        </w:rPr>
      </w:pPr>
      <w:r>
        <w:rPr>
          <w:rFonts w:hint="eastAsia" w:ascii="宋体" w:hAnsi="宋体" w:eastAsia="宋体" w:cs="宋体"/>
          <w:sz w:val="28"/>
          <w:szCs w:val="28"/>
          <w:lang w:eastAsia="zh-CN"/>
        </w:rPr>
        <w:drawing>
          <wp:anchor distT="0" distB="0" distL="114300" distR="114300" simplePos="0" relativeHeight="251708416" behindDoc="0" locked="0" layoutInCell="1" allowOverlap="1">
            <wp:simplePos x="0" y="0"/>
            <wp:positionH relativeFrom="column">
              <wp:posOffset>180975</wp:posOffset>
            </wp:positionH>
            <wp:positionV relativeFrom="paragraph">
              <wp:posOffset>161925</wp:posOffset>
            </wp:positionV>
            <wp:extent cx="4765675" cy="2839085"/>
            <wp:effectExtent l="5080" t="4445" r="10795" b="13970"/>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firstLineChars="200"/>
        <w:outlineLvl w:val="1"/>
        <w:rPr>
          <w:rFonts w:hint="eastAsia" w:ascii="Times New Roman" w:hAnsi="Times New Roman" w:eastAsia="方正仿宋简体" w:cs="Times New Roman"/>
          <w:color w:val="000000"/>
          <w:kern w:val="2"/>
          <w:sz w:val="32"/>
          <w:szCs w:val="32"/>
          <w:lang w:val="en-US" w:eastAsia="zh-CN" w:bidi="ar-SA"/>
        </w:rPr>
      </w:pPr>
      <w:r>
        <w:rPr>
          <w:rFonts w:hint="eastAsia" w:ascii="Times New Roman" w:hAnsi="Times New Roman" w:eastAsia="方正仿宋简体" w:cs="Times New Roman"/>
          <w:color w:val="000000"/>
          <w:kern w:val="2"/>
          <w:sz w:val="32"/>
          <w:szCs w:val="32"/>
          <w:lang w:val="en-US" w:eastAsia="zh-CN" w:bidi="ar-SA"/>
        </w:rPr>
        <w:t xml:space="preserve">2020年一般公共预算财政拨款支出742.81万元，主要用于以下方面:一般公共服务（类）支出0万元，占0%；教育支出（类）606.77万元，占82%；科学技术（类）支出万元，占%；社会保障和就业（类）支出66.14万元，占9%；医疗卫生支出22.7万元，占3%；住房保障支出47.2万元，占6%； </w:t>
      </w:r>
    </w:p>
    <w:p>
      <w:pPr>
        <w:spacing w:line="600" w:lineRule="exact"/>
        <w:ind w:firstLine="640" w:firstLineChars="200"/>
        <w:outlineLvl w:val="1"/>
        <w:rPr>
          <w:rFonts w:ascii="仿宋" w:hAnsi="仿宋" w:eastAsia="仿宋"/>
          <w:color w:val="000000"/>
          <w:sz w:val="32"/>
          <w:szCs w:val="32"/>
        </w:rPr>
      </w:pPr>
      <w:r>
        <w:rPr>
          <w:rFonts w:hint="eastAsia" w:ascii="Times New Roman" w:hAnsi="Times New Roman" w:eastAsia="方正仿宋简体" w:cs="Times New Roman"/>
          <w:color w:val="000000"/>
          <w:kern w:val="2"/>
          <w:sz w:val="32"/>
          <w:szCs w:val="32"/>
          <w:lang w:val="en-US" w:eastAsia="zh-CN" w:bidi="ar-SA"/>
        </w:rPr>
        <w:drawing>
          <wp:anchor distT="0" distB="0" distL="114300" distR="114300" simplePos="0" relativeHeight="251693056" behindDoc="0" locked="0" layoutInCell="1" allowOverlap="1">
            <wp:simplePos x="0" y="0"/>
            <wp:positionH relativeFrom="column">
              <wp:posOffset>504825</wp:posOffset>
            </wp:positionH>
            <wp:positionV relativeFrom="paragraph">
              <wp:posOffset>504825</wp:posOffset>
            </wp:positionV>
            <wp:extent cx="4271010" cy="3143885"/>
            <wp:effectExtent l="4445" t="4445" r="10795" b="13970"/>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rFonts w:hint="eastAsia" w:ascii="Times New Roman" w:hAnsi="Times New Roman" w:eastAsia="方正仿宋简体" w:cs="Times New Roman"/>
          <w:color w:val="000000"/>
          <w:kern w:val="2"/>
          <w:sz w:val="32"/>
          <w:szCs w:val="32"/>
          <w:lang w:val="en-US" w:eastAsia="zh-CN" w:bidi="ar-SA"/>
        </w:rPr>
        <w:t>（图6：一般公共预算财政拨款支出决算结构）（饼状图）</w: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0" w:firstLineChars="200"/>
        <w:outlineLvl w:val="1"/>
        <w:rPr>
          <w:rFonts w:hint="eastAsia" w:ascii="Times New Roman" w:hAnsi="Times New Roman" w:eastAsia="方正仿宋简体" w:cs="Times New Roman"/>
          <w:color w:val="000000"/>
          <w:kern w:val="2"/>
          <w:sz w:val="32"/>
          <w:szCs w:val="32"/>
          <w:lang w:val="en-US" w:eastAsia="zh-CN" w:bidi="ar-SA"/>
        </w:rPr>
      </w:pPr>
      <w:bookmarkStart w:id="37" w:name="_Toc15378460"/>
      <w:bookmarkStart w:id="38" w:name="_Toc15377213"/>
      <w:bookmarkStart w:id="39" w:name="_Toc15377444"/>
      <w:r>
        <w:rPr>
          <w:rFonts w:hint="eastAsia" w:ascii="Times New Roman" w:hAnsi="Times New Roman" w:eastAsia="方正仿宋简体" w:cs="Times New Roman"/>
          <w:color w:val="000000"/>
          <w:kern w:val="2"/>
          <w:sz w:val="32"/>
          <w:szCs w:val="32"/>
          <w:lang w:val="en-US" w:eastAsia="zh-CN" w:bidi="ar-SA"/>
        </w:rPr>
        <w:t>2020年般公共预算支出决算数为742.81，完成预算100%。其中：</w:t>
      </w:r>
      <w:bookmarkEnd w:id="37"/>
      <w:bookmarkEnd w:id="38"/>
      <w:bookmarkEnd w:id="39"/>
    </w:p>
    <w:p>
      <w:pPr>
        <w:spacing w:line="600" w:lineRule="exact"/>
        <w:ind w:firstLine="640" w:firstLineChars="200"/>
        <w:outlineLvl w:val="1"/>
        <w:rPr>
          <w:rFonts w:hint="eastAsia" w:ascii="Times New Roman" w:hAnsi="Times New Roman" w:eastAsia="方正仿宋简体" w:cs="Times New Roman"/>
          <w:color w:val="000000"/>
          <w:kern w:val="2"/>
          <w:sz w:val="32"/>
          <w:szCs w:val="32"/>
          <w:lang w:val="en-US" w:eastAsia="zh-CN" w:bidi="ar-SA"/>
        </w:rPr>
      </w:pPr>
      <w:r>
        <w:rPr>
          <w:rFonts w:hint="eastAsia" w:ascii="Times New Roman" w:hAnsi="Times New Roman" w:eastAsia="方正仿宋简体" w:cs="Times New Roman"/>
          <w:color w:val="000000"/>
          <w:kern w:val="2"/>
          <w:sz w:val="32"/>
          <w:szCs w:val="32"/>
          <w:lang w:val="en-US" w:eastAsia="zh-CN" w:bidi="ar-SA"/>
        </w:rPr>
        <w:t>1.教育支出: 支出决算为606.77万元，完成预算100%。</w:t>
      </w:r>
    </w:p>
    <w:p>
      <w:pPr>
        <w:spacing w:line="600" w:lineRule="exact"/>
        <w:ind w:firstLine="640" w:firstLineChars="200"/>
        <w:outlineLvl w:val="1"/>
        <w:rPr>
          <w:rFonts w:hint="eastAsia" w:ascii="Times New Roman" w:hAnsi="Times New Roman" w:eastAsia="方正仿宋简体" w:cs="Times New Roman"/>
          <w:color w:val="000000"/>
          <w:kern w:val="2"/>
          <w:sz w:val="32"/>
          <w:szCs w:val="32"/>
          <w:lang w:val="en-US" w:eastAsia="zh-CN" w:bidi="ar-SA"/>
        </w:rPr>
      </w:pPr>
      <w:r>
        <w:rPr>
          <w:rFonts w:hint="eastAsia" w:ascii="Times New Roman" w:hAnsi="Times New Roman" w:eastAsia="方正仿宋简体" w:cs="Times New Roman"/>
          <w:color w:val="000000"/>
          <w:kern w:val="2"/>
          <w:sz w:val="32"/>
          <w:szCs w:val="32"/>
          <w:lang w:val="en-US" w:eastAsia="zh-CN" w:bidi="ar-SA"/>
        </w:rPr>
        <w:t>2.机关事业单位基本养老保险: 支出决算为66.14万元，完成预算100%。</w:t>
      </w:r>
    </w:p>
    <w:p>
      <w:pPr>
        <w:spacing w:line="600" w:lineRule="exact"/>
        <w:ind w:firstLine="640" w:firstLineChars="200"/>
        <w:outlineLvl w:val="1"/>
        <w:rPr>
          <w:rFonts w:hint="eastAsia" w:ascii="Times New Roman" w:hAnsi="Times New Roman" w:eastAsia="方正仿宋简体" w:cs="Times New Roman"/>
          <w:color w:val="000000"/>
          <w:kern w:val="2"/>
          <w:sz w:val="32"/>
          <w:szCs w:val="32"/>
          <w:lang w:val="en-US" w:eastAsia="zh-CN" w:bidi="ar-SA"/>
        </w:rPr>
      </w:pPr>
      <w:r>
        <w:rPr>
          <w:rFonts w:hint="eastAsia" w:ascii="Times New Roman" w:hAnsi="Times New Roman" w:eastAsia="方正仿宋简体" w:cs="Times New Roman"/>
          <w:color w:val="000000"/>
          <w:kern w:val="2"/>
          <w:sz w:val="32"/>
          <w:szCs w:val="32"/>
          <w:lang w:val="en-US" w:eastAsia="zh-CN" w:bidi="ar-SA"/>
        </w:rPr>
        <w:t>3.事业单位医疗保险:支出决算为22.7万元，完成预算100%。</w:t>
      </w:r>
    </w:p>
    <w:p>
      <w:pPr>
        <w:spacing w:line="600" w:lineRule="exact"/>
        <w:ind w:firstLine="640" w:firstLineChars="200"/>
        <w:outlineLvl w:val="1"/>
        <w:rPr>
          <w:rFonts w:hint="eastAsia" w:ascii="Times New Roman" w:hAnsi="Times New Roman" w:eastAsia="方正仿宋简体" w:cs="Times New Roman"/>
          <w:color w:val="000000"/>
          <w:kern w:val="2"/>
          <w:sz w:val="32"/>
          <w:szCs w:val="32"/>
          <w:lang w:val="en-US" w:eastAsia="zh-CN" w:bidi="ar-SA"/>
        </w:rPr>
      </w:pPr>
      <w:r>
        <w:rPr>
          <w:rFonts w:hint="eastAsia" w:ascii="Times New Roman" w:hAnsi="Times New Roman" w:eastAsia="方正仿宋简体" w:cs="Times New Roman"/>
          <w:color w:val="000000"/>
          <w:kern w:val="2"/>
          <w:sz w:val="32"/>
          <w:szCs w:val="32"/>
          <w:lang w:val="en-US" w:eastAsia="zh-CN" w:bidi="ar-SA"/>
        </w:rPr>
        <w:t>4.住房公积金：支出决算为47.2万元，完成预算100%。</w:t>
      </w:r>
    </w:p>
    <w:p>
      <w:pPr>
        <w:tabs>
          <w:tab w:val="right" w:pos="8306"/>
        </w:tabs>
        <w:spacing w:line="600" w:lineRule="exact"/>
        <w:ind w:firstLine="640"/>
        <w:outlineLvl w:val="1"/>
        <w:rPr>
          <w:rStyle w:val="25"/>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0" w:firstLineChars="200"/>
        <w:outlineLvl w:val="1"/>
        <w:rPr>
          <w:rFonts w:hint="eastAsia" w:ascii="Times New Roman" w:hAnsi="Times New Roman" w:eastAsia="方正仿宋简体" w:cs="Times New Roman"/>
          <w:color w:val="000000"/>
          <w:kern w:val="2"/>
          <w:sz w:val="32"/>
          <w:szCs w:val="32"/>
          <w:lang w:val="en-US" w:eastAsia="zh-CN" w:bidi="ar-SA"/>
        </w:rPr>
      </w:pPr>
      <w:r>
        <w:rPr>
          <w:rFonts w:hint="eastAsia" w:ascii="Times New Roman" w:hAnsi="Times New Roman" w:eastAsia="方正仿宋简体" w:cs="Times New Roman"/>
          <w:color w:val="000000"/>
          <w:kern w:val="2"/>
          <w:sz w:val="32"/>
          <w:szCs w:val="32"/>
          <w:lang w:val="en-US" w:eastAsia="zh-CN" w:bidi="ar-SA"/>
        </w:rPr>
        <w:t>2020年一般公共预算财政拨款基本支出742.81万元，其中：</w:t>
      </w:r>
    </w:p>
    <w:p>
      <w:pPr>
        <w:spacing w:line="600" w:lineRule="exact"/>
        <w:ind w:firstLine="640" w:firstLineChars="200"/>
        <w:outlineLvl w:val="1"/>
        <w:rPr>
          <w:rFonts w:hint="eastAsia" w:ascii="Times New Roman" w:hAnsi="Times New Roman" w:eastAsia="方正仿宋简体" w:cs="Times New Roman"/>
          <w:color w:val="000000"/>
          <w:kern w:val="2"/>
          <w:sz w:val="32"/>
          <w:szCs w:val="32"/>
          <w:lang w:val="en-US" w:eastAsia="zh-CN" w:bidi="ar-SA"/>
        </w:rPr>
      </w:pPr>
      <w:r>
        <w:rPr>
          <w:rFonts w:hint="eastAsia" w:ascii="Times New Roman" w:hAnsi="Times New Roman" w:eastAsia="方正仿宋简体" w:cs="Times New Roman"/>
          <w:color w:val="000000"/>
          <w:kern w:val="2"/>
          <w:sz w:val="32"/>
          <w:szCs w:val="32"/>
          <w:lang w:val="en-US" w:eastAsia="zh-CN" w:bidi="ar-SA"/>
        </w:rPr>
        <w:t>人员经费683.51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hint="eastAsia" w:ascii="Times New Roman" w:hAnsi="Times New Roman" w:eastAsia="方正仿宋简体" w:cs="Times New Roman"/>
          <w:color w:val="000000"/>
          <w:kern w:val="2"/>
          <w:sz w:val="32"/>
          <w:szCs w:val="32"/>
          <w:lang w:val="en-US" w:eastAsia="zh-CN" w:bidi="ar-SA"/>
        </w:rPr>
        <w:br w:type="textWrapping"/>
      </w:r>
      <w:r>
        <w:rPr>
          <w:rFonts w:hint="eastAsia" w:ascii="Times New Roman" w:hAnsi="Times New Roman" w:eastAsia="方正仿宋简体" w:cs="Times New Roman"/>
          <w:color w:val="000000"/>
          <w:kern w:val="2"/>
          <w:sz w:val="32"/>
          <w:szCs w:val="32"/>
          <w:lang w:val="en-US" w:eastAsia="zh-CN" w:bidi="ar-SA"/>
        </w:rPr>
        <w:t>　　公用经费59.3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hint="eastAsia" w:ascii="Times New Roman" w:hAnsi="Times New Roman" w:eastAsia="方正仿宋简体" w:cs="Times New Roman"/>
          <w:color w:val="000000"/>
          <w:kern w:val="2"/>
          <w:sz w:val="32"/>
          <w:szCs w:val="32"/>
          <w:lang w:val="en-US" w:eastAsia="zh-CN" w:bidi="ar-SA"/>
        </w:rPr>
        <w:t>2020年“三公”经费财政拨款支出决算为0.79万元，完成预算100%。</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hint="eastAsia" w:ascii="Times New Roman" w:hAnsi="Times New Roman" w:eastAsia="方正仿宋简体" w:cs="Times New Roman"/>
          <w:color w:val="000000"/>
          <w:kern w:val="2"/>
          <w:sz w:val="32"/>
          <w:szCs w:val="32"/>
          <w:lang w:val="en-US" w:eastAsia="zh-CN" w:bidi="ar-SA"/>
        </w:rPr>
      </w:pPr>
      <w:r>
        <w:rPr>
          <w:rFonts w:hint="eastAsia" w:ascii="Times New Roman" w:hAnsi="Times New Roman" w:eastAsia="方正仿宋简体" w:cs="Times New Roman"/>
          <w:color w:val="000000"/>
          <w:kern w:val="2"/>
          <w:sz w:val="32"/>
          <w:szCs w:val="32"/>
          <w:lang w:val="en-US" w:eastAsia="zh-CN" w:bidi="ar-SA"/>
        </w:rPr>
        <w:t>2020年“三公”经费财政拨款支出决算中，因公出国（境）费支出决算0万元，占0%；公务用车购置及运行维护费支出决算0万元，占0%；公务接待费支出决算0.79万元，占100%。具体情况如下：</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（图8：“三公”经费财政拨款支出结构）（饼状图）</w:t>
      </w:r>
    </w:p>
    <w:p>
      <w:pPr>
        <w:spacing w:line="600" w:lineRule="exact"/>
        <w:ind w:firstLine="640"/>
        <w:rPr>
          <w:rFonts w:ascii="仿宋" w:hAnsi="仿宋" w:eastAsia="仿宋"/>
          <w:color w:val="000000"/>
          <w:sz w:val="32"/>
          <w:szCs w:val="32"/>
        </w:rPr>
      </w:pPr>
      <w:r>
        <w:rPr>
          <w:rFonts w:ascii="仿宋" w:hAnsi="仿宋" w:eastAsia="仿宋"/>
          <w:color w:val="000000"/>
          <w:sz w:val="32"/>
          <w:szCs w:val="32"/>
        </w:rPr>
        <w:pict>
          <v:shape id="_x0000_s1035" o:spid="_x0000_s1035" o:spt="75" type="#_x0000_t75" style="position:absolute;left:0pt;margin-left:4.5pt;margin-top:9.3pt;height:265.6pt;width:427.15pt;z-index:251671552;mso-width-relative:page;mso-height-relative:page;" o:ole="t" filled="f" o:preferrelative="t" stroked="f" coordsize="21600,21600">
            <v:path/>
            <v:fill on="f" focussize="0,0"/>
            <v:stroke on="f" joinstyle="miter"/>
            <v:imagedata r:id="rId17" o:title=""/>
            <o:lock v:ext="edit" aspectratio="t"/>
          </v:shape>
          <o:OLEObject Type="Embed" ProgID="Excel.Sheet.8" ShapeID="_x0000_s1035" DrawAspect="Content" ObjectID="_1468075725" r:id="rId16">
            <o:LockedField>false</o:LockedField>
          </o:OLEObject>
        </w:pict>
      </w: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hint="eastAsia" w:ascii="Times New Roman" w:hAnsi="Times New Roman" w:eastAsia="方正仿宋简体" w:cs="Times New Roman"/>
          <w:color w:val="000000"/>
          <w:kern w:val="2"/>
          <w:sz w:val="32"/>
          <w:szCs w:val="32"/>
          <w:lang w:val="en-US" w:eastAsia="zh-CN" w:bidi="ar-SA"/>
        </w:rPr>
      </w:pPr>
      <w:r>
        <w:rPr>
          <w:rFonts w:hint="eastAsia" w:ascii="Times New Roman" w:hAnsi="Times New Roman" w:eastAsia="方正仿宋简体" w:cs="Times New Roman"/>
          <w:color w:val="000000"/>
          <w:kern w:val="2"/>
          <w:sz w:val="32"/>
          <w:szCs w:val="32"/>
          <w:lang w:val="en-US" w:eastAsia="zh-CN" w:bidi="ar-SA"/>
        </w:rPr>
        <w:t>1.公务接待费支出0.89万元，完成预算100%。公务接待费支出决算比2019年减少0.1万元，下降10%。主要原因是贯彻执行中央八项规定。</w:t>
      </w:r>
    </w:p>
    <w:p>
      <w:pPr>
        <w:spacing w:line="600" w:lineRule="exact"/>
        <w:ind w:firstLine="640"/>
        <w:rPr>
          <w:rFonts w:hint="eastAsia" w:ascii="Times New Roman" w:hAnsi="Times New Roman" w:eastAsia="方正仿宋简体" w:cs="Times New Roman"/>
          <w:color w:val="000000"/>
          <w:kern w:val="2"/>
          <w:sz w:val="32"/>
          <w:szCs w:val="32"/>
          <w:lang w:val="en-US" w:eastAsia="zh-CN" w:bidi="ar-SA"/>
        </w:rPr>
      </w:pPr>
      <w:r>
        <w:rPr>
          <w:rFonts w:hint="eastAsia" w:ascii="Times New Roman" w:hAnsi="Times New Roman" w:eastAsia="方正仿宋简体" w:cs="Times New Roman"/>
          <w:color w:val="000000"/>
          <w:kern w:val="2"/>
          <w:sz w:val="32"/>
          <w:szCs w:val="32"/>
          <w:lang w:val="en-US" w:eastAsia="zh-CN" w:bidi="ar-SA"/>
        </w:rPr>
        <w:t>主要用于执行公务、开展业务活动开支的交通费、住宿费、用餐费等。国内公务接待28批次，291人次（不包括陪同人员），共计支出0.89万元，具体内容包括：级来校指导工作、开展业务活动等工作餐支出0.89万元。</w:t>
      </w:r>
    </w:p>
    <w:p>
      <w:pPr>
        <w:spacing w:line="600" w:lineRule="exact"/>
        <w:ind w:firstLine="640"/>
        <w:outlineLvl w:val="1"/>
        <w:rPr>
          <w:rStyle w:val="25"/>
          <w:rFonts w:ascii="黑体" w:hAnsi="黑体" w:eastAsia="黑体"/>
        </w:rPr>
      </w:pPr>
      <w:bookmarkStart w:id="46" w:name="_Toc15377218"/>
      <w:bookmarkStart w:id="47" w:name="_Toc15396610"/>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hint="eastAsia" w:ascii="Times New Roman" w:hAnsi="Times New Roman" w:eastAsia="方正仿宋简体" w:cs="Times New Roman"/>
          <w:color w:val="000000"/>
          <w:kern w:val="2"/>
          <w:sz w:val="32"/>
          <w:szCs w:val="32"/>
          <w:lang w:val="en-US" w:eastAsia="zh-CN" w:bidi="ar-SA"/>
        </w:rPr>
      </w:pPr>
      <w:r>
        <w:rPr>
          <w:rFonts w:hint="eastAsia" w:ascii="Times New Roman" w:hAnsi="Times New Roman" w:eastAsia="方正仿宋简体" w:cs="Times New Roman"/>
          <w:color w:val="000000"/>
          <w:kern w:val="2"/>
          <w:sz w:val="32"/>
          <w:szCs w:val="32"/>
          <w:lang w:val="en-US" w:eastAsia="zh-CN" w:bidi="ar-SA"/>
        </w:rPr>
        <w:t>2020年政府性基金预算拨款支出0万元。</w:t>
      </w:r>
    </w:p>
    <w:p>
      <w:pPr>
        <w:numPr>
          <w:ilvl w:val="0"/>
          <w:numId w:val="2"/>
        </w:numPr>
        <w:spacing w:line="600" w:lineRule="exact"/>
        <w:ind w:firstLine="640"/>
        <w:outlineLvl w:val="1"/>
        <w:rPr>
          <w:rStyle w:val="25"/>
          <w:rFonts w:ascii="黑体" w:hAnsi="黑体" w:eastAsia="黑体"/>
          <w:b w:val="0"/>
        </w:rPr>
      </w:pPr>
      <w:bookmarkStart w:id="48" w:name="_Toc15377219"/>
      <w:bookmarkStart w:id="49" w:name="_Toc15396611"/>
      <w:r>
        <w:rPr>
          <w:rStyle w:val="25"/>
          <w:rFonts w:hint="eastAsia" w:ascii="黑体" w:hAnsi="黑体" w:eastAsia="黑体"/>
          <w:b w:val="0"/>
        </w:rPr>
        <w:t>国有资本经营预算支出决算情况说明</w:t>
      </w:r>
      <w:bookmarkEnd w:id="48"/>
      <w:bookmarkEnd w:id="49"/>
    </w:p>
    <w:p>
      <w:pPr>
        <w:spacing w:line="600" w:lineRule="exact"/>
        <w:ind w:firstLine="640"/>
        <w:rPr>
          <w:rFonts w:hint="eastAsia" w:ascii="Times New Roman" w:hAnsi="Times New Roman" w:eastAsia="方正仿宋简体" w:cs="Times New Roman"/>
          <w:color w:val="000000"/>
          <w:kern w:val="2"/>
          <w:sz w:val="32"/>
          <w:szCs w:val="32"/>
          <w:lang w:val="en-US" w:eastAsia="zh-CN" w:bidi="ar-SA"/>
        </w:rPr>
      </w:pPr>
      <w:r>
        <w:rPr>
          <w:rFonts w:hint="eastAsia" w:ascii="Times New Roman" w:hAnsi="Times New Roman" w:eastAsia="方正仿宋简体" w:cs="Times New Roman"/>
          <w:color w:val="000000"/>
          <w:kern w:val="2"/>
          <w:sz w:val="32"/>
          <w:szCs w:val="32"/>
          <w:lang w:val="en-US" w:eastAsia="zh-CN" w:bidi="ar-SA"/>
        </w:rPr>
        <w:t>2020年国有资本经营预算拨款支出0万元。</w:t>
      </w:r>
    </w:p>
    <w:p>
      <w:pPr>
        <w:pStyle w:val="23"/>
        <w:numPr>
          <w:ilvl w:val="0"/>
          <w:numId w:val="3"/>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pPr>
        <w:numPr>
          <w:ilvl w:val="0"/>
          <w:numId w:val="4"/>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Times New Roman" w:hAnsi="Times New Roman" w:eastAsia="方正仿宋简体" w:cs="Times New Roman"/>
          <w:color w:val="000000"/>
          <w:kern w:val="2"/>
          <w:sz w:val="32"/>
          <w:szCs w:val="32"/>
          <w:lang w:val="en-US" w:eastAsia="zh-CN" w:bidi="ar-SA"/>
        </w:rPr>
        <w:t>根据预算绩效管理要求，本部门按要求对2020年部门整体支出开展绩效自评，从评价情况来看全面完成了预算执行，达到了预期效果</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 </w:t>
      </w:r>
    </w:p>
    <w:p>
      <w:pPr>
        <w:numPr>
          <w:ilvl w:val="0"/>
          <w:numId w:val="4"/>
        </w:numPr>
        <w:spacing w:line="580" w:lineRule="exact"/>
        <w:ind w:firstLine="643" w:firstLineChars="200"/>
        <w:rPr>
          <w:rFonts w:hint="eastAsia" w:ascii="Times New Roman" w:hAnsi="Times New Roman" w:eastAsia="方正仿宋简体" w:cs="Times New Roman"/>
          <w:color w:val="000000"/>
          <w:kern w:val="2"/>
          <w:sz w:val="32"/>
          <w:szCs w:val="32"/>
          <w:lang w:val="en-US" w:eastAsia="zh-CN" w:bidi="ar-SA"/>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w:t>
      </w:r>
      <w:r>
        <w:rPr>
          <w:rFonts w:hint="eastAsia" w:ascii="Times New Roman" w:hAnsi="Times New Roman" w:eastAsia="方正仿宋简体" w:cs="Times New Roman"/>
          <w:color w:val="000000"/>
          <w:kern w:val="2"/>
          <w:sz w:val="32"/>
          <w:szCs w:val="32"/>
          <w:lang w:val="en-US" w:eastAsia="zh-CN" w:bidi="ar-SA"/>
        </w:rPr>
        <w:t xml:space="preserve">  本单位2020年度无项目执行情况。</w:t>
      </w:r>
    </w:p>
    <w:p>
      <w:pPr>
        <w:numPr>
          <w:ilvl w:val="0"/>
          <w:numId w:val="4"/>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numPr>
          <w:ilvl w:val="0"/>
          <w:numId w:val="0"/>
        </w:numPr>
        <w:spacing w:line="580" w:lineRule="exact"/>
        <w:ind w:firstLine="640" w:firstLineChars="200"/>
        <w:rPr>
          <w:rFonts w:hint="eastAsia" w:ascii="Times New Roman" w:hAnsi="Times New Roman" w:eastAsia="方正仿宋简体" w:cs="Times New Roman"/>
          <w:color w:val="000000"/>
          <w:kern w:val="2"/>
          <w:sz w:val="32"/>
          <w:szCs w:val="32"/>
          <w:lang w:val="en-US" w:eastAsia="zh-CN" w:bidi="ar-SA"/>
        </w:rPr>
      </w:pPr>
      <w:r>
        <w:rPr>
          <w:rFonts w:hint="eastAsia" w:ascii="Times New Roman" w:hAnsi="Times New Roman" w:eastAsia="方正仿宋简体" w:cs="Times New Roman"/>
          <w:color w:val="000000"/>
          <w:kern w:val="2"/>
          <w:sz w:val="32"/>
          <w:szCs w:val="32"/>
          <w:lang w:val="en-US" w:eastAsia="zh-CN" w:bidi="ar-SA"/>
        </w:rPr>
        <w:t>本部门按要求对2020年部门整体支出绩效评价情况开展自评，《开江县八庙镇中心小学2020年部门整体支出绩效评价报告》见附件。</w:t>
      </w:r>
    </w:p>
    <w:p>
      <w:pPr>
        <w:spacing w:line="600" w:lineRule="exact"/>
        <w:ind w:firstLine="800" w:firstLineChars="250"/>
        <w:outlineLvl w:val="1"/>
        <w:rPr>
          <w:rStyle w:val="25"/>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numPr>
          <w:ilvl w:val="0"/>
          <w:numId w:val="0"/>
        </w:numPr>
        <w:spacing w:line="580" w:lineRule="exact"/>
        <w:ind w:firstLine="640" w:firstLineChars="200"/>
        <w:rPr>
          <w:rFonts w:hint="eastAsia" w:ascii="Times New Roman" w:hAnsi="Times New Roman" w:eastAsia="方正仿宋简体" w:cs="Times New Roman"/>
          <w:color w:val="000000"/>
          <w:kern w:val="2"/>
          <w:sz w:val="32"/>
          <w:szCs w:val="32"/>
          <w:lang w:val="en-US" w:eastAsia="zh-CN" w:bidi="ar-SA"/>
        </w:rPr>
      </w:pPr>
      <w:r>
        <w:rPr>
          <w:rFonts w:hint="eastAsia" w:ascii="Times New Roman" w:hAnsi="Times New Roman" w:eastAsia="方正仿宋简体" w:cs="Times New Roman"/>
          <w:color w:val="000000"/>
          <w:kern w:val="2"/>
          <w:sz w:val="32"/>
          <w:szCs w:val="32"/>
          <w:lang w:val="en-US" w:eastAsia="zh-CN" w:bidi="ar-SA"/>
        </w:rPr>
        <w:t>2020年本单位无此项支出。</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numPr>
          <w:ilvl w:val="0"/>
          <w:numId w:val="0"/>
        </w:numPr>
        <w:spacing w:line="580" w:lineRule="exact"/>
        <w:ind w:firstLine="640" w:firstLineChars="200"/>
        <w:rPr>
          <w:rFonts w:hint="eastAsia" w:ascii="Times New Roman" w:hAnsi="Times New Roman" w:eastAsia="方正仿宋简体" w:cs="Times New Roman"/>
          <w:color w:val="000000"/>
          <w:kern w:val="2"/>
          <w:sz w:val="32"/>
          <w:szCs w:val="32"/>
          <w:lang w:val="en-US" w:eastAsia="zh-CN" w:bidi="ar-SA"/>
        </w:rPr>
      </w:pPr>
      <w:r>
        <w:rPr>
          <w:rFonts w:hint="eastAsia" w:ascii="Times New Roman" w:hAnsi="Times New Roman" w:eastAsia="方正仿宋简体" w:cs="Times New Roman"/>
          <w:color w:val="000000"/>
          <w:kern w:val="2"/>
          <w:sz w:val="32"/>
          <w:szCs w:val="32"/>
          <w:lang w:val="en-US" w:eastAsia="zh-CN" w:bidi="ar-SA"/>
        </w:rPr>
        <w:t>2020年，本单位无此项支出。</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numPr>
          <w:ilvl w:val="0"/>
          <w:numId w:val="0"/>
        </w:numPr>
        <w:spacing w:line="580" w:lineRule="exact"/>
        <w:ind w:firstLine="640" w:firstLineChars="200"/>
        <w:rPr>
          <w:rFonts w:hint="eastAsia" w:ascii="Times New Roman" w:hAnsi="Times New Roman" w:eastAsia="方正仿宋简体" w:cs="Times New Roman"/>
          <w:color w:val="000000"/>
          <w:kern w:val="2"/>
          <w:sz w:val="32"/>
          <w:szCs w:val="32"/>
          <w:lang w:val="en-US" w:eastAsia="zh-CN" w:bidi="ar-SA"/>
        </w:rPr>
      </w:pPr>
      <w:r>
        <w:rPr>
          <w:rFonts w:hint="eastAsia" w:ascii="Times New Roman" w:hAnsi="Times New Roman" w:eastAsia="方正仿宋简体" w:cs="Times New Roman"/>
          <w:color w:val="000000"/>
          <w:kern w:val="2"/>
          <w:sz w:val="32"/>
          <w:szCs w:val="32"/>
          <w:lang w:val="en-US" w:eastAsia="zh-CN" w:bidi="ar-SA"/>
        </w:rPr>
        <w:t>截至2020年12月31日，本单位无国有资产占有使用情况。</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5" w:name="_Toc15377225"/>
      <w:bookmarkStart w:id="56" w:name="_Toc15396613"/>
    </w:p>
    <w:bookmarkEnd w:id="55"/>
    <w:bookmarkEnd w:id="56"/>
    <w:p>
      <w:pPr>
        <w:spacing w:line="600" w:lineRule="exact"/>
        <w:jc w:val="both"/>
        <w:outlineLvl w:val="0"/>
        <w:rPr>
          <w:kern w:val="44"/>
        </w:rPr>
      </w:pPr>
      <w:r>
        <w:rPr>
          <w:rStyle w:val="29"/>
          <w:rFonts w:hAnsi="黑体" w:eastAsia="黑体"/>
          <w:b w:val="0"/>
          <w:bCs w:val="0"/>
        </w:rPr>
        <w:t>第三部分</w:t>
      </w:r>
      <w:r>
        <w:rPr>
          <w:rStyle w:val="29"/>
          <w:rFonts w:eastAsia="黑体"/>
          <w:b w:val="0"/>
          <w:bCs w:val="0"/>
        </w:rPr>
        <w:t xml:space="preserve"> </w:t>
      </w:r>
      <w:r>
        <w:rPr>
          <w:rStyle w:val="29"/>
          <w:rFonts w:hAnsi="黑体" w:eastAsia="黑体"/>
          <w:b w:val="0"/>
          <w:bCs w:val="0"/>
        </w:rPr>
        <w:t>名词解释</w:t>
      </w:r>
    </w:p>
    <w:p>
      <w:pPr>
        <w:spacing w:line="600" w:lineRule="exact"/>
        <w:jc w:val="left"/>
        <w:rPr>
          <w:rFonts w:ascii="宋体"/>
          <w:b/>
          <w:color w:val="000000"/>
          <w:sz w:val="44"/>
          <w:szCs w:val="44"/>
        </w:rPr>
      </w:pPr>
    </w:p>
    <w:p>
      <w:pPr>
        <w:numPr>
          <w:ilvl w:val="0"/>
          <w:numId w:val="0"/>
        </w:numPr>
        <w:spacing w:line="580" w:lineRule="exact"/>
        <w:ind w:firstLine="640" w:firstLineChars="200"/>
        <w:rPr>
          <w:rFonts w:hint="eastAsia" w:ascii="Times New Roman" w:hAnsi="Times New Roman" w:eastAsia="方正仿宋简体" w:cs="Times New Roman"/>
          <w:color w:val="000000"/>
          <w:kern w:val="2"/>
          <w:sz w:val="32"/>
          <w:szCs w:val="32"/>
          <w:lang w:val="en-US" w:eastAsia="zh-CN" w:bidi="ar-SA"/>
        </w:rPr>
      </w:pPr>
      <w:r>
        <w:rPr>
          <w:rFonts w:hint="eastAsia" w:ascii="Times New Roman" w:hAnsi="Times New Roman" w:eastAsia="方正仿宋简体" w:cs="Times New Roman"/>
          <w:color w:val="000000"/>
          <w:kern w:val="2"/>
          <w:sz w:val="32"/>
          <w:szCs w:val="32"/>
          <w:lang w:val="en-US" w:eastAsia="zh-CN" w:bidi="ar-SA"/>
        </w:rPr>
        <w:t>1.财政拨款收入：指单位从同级财政部门取得的财政预算资金。</w:t>
      </w:r>
    </w:p>
    <w:p>
      <w:pPr>
        <w:numPr>
          <w:ilvl w:val="0"/>
          <w:numId w:val="0"/>
        </w:numPr>
        <w:spacing w:line="580" w:lineRule="exact"/>
        <w:ind w:firstLine="640" w:firstLineChars="200"/>
        <w:rPr>
          <w:rFonts w:hint="eastAsia" w:ascii="Times New Roman" w:hAnsi="Times New Roman" w:eastAsia="方正仿宋简体" w:cs="Times New Roman"/>
          <w:color w:val="000000"/>
          <w:kern w:val="2"/>
          <w:sz w:val="32"/>
          <w:szCs w:val="32"/>
          <w:lang w:val="en-US" w:eastAsia="zh-CN" w:bidi="ar-SA"/>
        </w:rPr>
      </w:pPr>
      <w:r>
        <w:rPr>
          <w:rFonts w:hint="eastAsia" w:ascii="Times New Roman" w:hAnsi="Times New Roman" w:eastAsia="方正仿宋简体" w:cs="Times New Roman"/>
          <w:color w:val="000000"/>
          <w:kern w:val="2"/>
          <w:sz w:val="32"/>
          <w:szCs w:val="32"/>
          <w:lang w:val="en-US" w:eastAsia="zh-CN" w:bidi="ar-SA"/>
        </w:rPr>
        <w:t>2.事业收入：指事业单位开展专业业务活动及辅助活动取得的收入。（二级预算单位事业收入情况）等。</w:t>
      </w:r>
    </w:p>
    <w:p>
      <w:pPr>
        <w:numPr>
          <w:ilvl w:val="0"/>
          <w:numId w:val="0"/>
        </w:numPr>
        <w:spacing w:line="580" w:lineRule="exact"/>
        <w:ind w:firstLine="640" w:firstLineChars="200"/>
        <w:rPr>
          <w:rFonts w:hint="eastAsia" w:ascii="Times New Roman" w:hAnsi="Times New Roman" w:eastAsia="方正仿宋简体" w:cs="Times New Roman"/>
          <w:color w:val="000000"/>
          <w:kern w:val="2"/>
          <w:sz w:val="32"/>
          <w:szCs w:val="32"/>
          <w:lang w:val="en-US" w:eastAsia="zh-CN" w:bidi="ar-SA"/>
        </w:rPr>
      </w:pPr>
      <w:r>
        <w:rPr>
          <w:rFonts w:hint="eastAsia" w:ascii="Times New Roman" w:hAnsi="Times New Roman" w:eastAsia="方正仿宋简体" w:cs="Times New Roman"/>
          <w:color w:val="000000"/>
          <w:kern w:val="2"/>
          <w:sz w:val="32"/>
          <w:szCs w:val="32"/>
          <w:lang w:val="en-US" w:eastAsia="zh-CN" w:bidi="ar-SA"/>
        </w:rPr>
        <w:t>3.经营收入：指事业单位在专业业务活动及其辅助活动之外开展非独立核算经营活动取得的收入。（二级预算单位经营收入情况）等。</w:t>
      </w:r>
    </w:p>
    <w:p>
      <w:pPr>
        <w:numPr>
          <w:ilvl w:val="0"/>
          <w:numId w:val="0"/>
        </w:numPr>
        <w:spacing w:line="580" w:lineRule="exact"/>
        <w:ind w:firstLine="640" w:firstLineChars="200"/>
        <w:rPr>
          <w:rFonts w:hint="eastAsia" w:ascii="Times New Roman" w:hAnsi="Times New Roman" w:eastAsia="方正仿宋简体" w:cs="Times New Roman"/>
          <w:color w:val="000000"/>
          <w:kern w:val="2"/>
          <w:sz w:val="32"/>
          <w:szCs w:val="32"/>
          <w:lang w:val="en-US" w:eastAsia="zh-CN" w:bidi="ar-SA"/>
        </w:rPr>
      </w:pPr>
      <w:r>
        <w:rPr>
          <w:rFonts w:hint="eastAsia" w:ascii="Times New Roman" w:hAnsi="Times New Roman" w:eastAsia="方正仿宋简体" w:cs="Times New Roman"/>
          <w:color w:val="000000"/>
          <w:kern w:val="2"/>
          <w:sz w:val="32"/>
          <w:szCs w:val="32"/>
          <w:lang w:val="en-US" w:eastAsia="zh-CN" w:bidi="ar-SA"/>
        </w:rPr>
        <w:t xml:space="preserve">4.其他收入：指单位取得的除上述收入以外的各项收入。（收入类型）等。 </w:t>
      </w:r>
    </w:p>
    <w:p>
      <w:pPr>
        <w:numPr>
          <w:ilvl w:val="0"/>
          <w:numId w:val="0"/>
        </w:numPr>
        <w:spacing w:line="580" w:lineRule="exact"/>
        <w:ind w:firstLine="640" w:firstLineChars="200"/>
        <w:rPr>
          <w:rFonts w:hint="eastAsia" w:ascii="Times New Roman" w:hAnsi="Times New Roman" w:eastAsia="方正仿宋简体" w:cs="Times New Roman"/>
          <w:color w:val="000000"/>
          <w:kern w:val="2"/>
          <w:sz w:val="32"/>
          <w:szCs w:val="32"/>
          <w:lang w:val="en-US" w:eastAsia="zh-CN" w:bidi="ar-SA"/>
        </w:rPr>
      </w:pPr>
      <w:r>
        <w:rPr>
          <w:rFonts w:hint="eastAsia" w:ascii="Times New Roman" w:hAnsi="Times New Roman" w:eastAsia="方正仿宋简体" w:cs="Times New Roman"/>
          <w:color w:val="000000"/>
          <w:kern w:val="2"/>
          <w:sz w:val="32"/>
          <w:szCs w:val="32"/>
          <w:lang w:val="en-US" w:eastAsia="zh-CN" w:bidi="ar-SA"/>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numPr>
          <w:ilvl w:val="0"/>
          <w:numId w:val="0"/>
        </w:numPr>
        <w:spacing w:line="580" w:lineRule="exact"/>
        <w:ind w:firstLine="640" w:firstLineChars="200"/>
        <w:rPr>
          <w:rFonts w:hint="eastAsia" w:ascii="Times New Roman" w:hAnsi="Times New Roman" w:eastAsia="方正仿宋简体" w:cs="Times New Roman"/>
          <w:color w:val="000000"/>
          <w:kern w:val="2"/>
          <w:sz w:val="32"/>
          <w:szCs w:val="32"/>
          <w:lang w:val="en-US" w:eastAsia="zh-CN" w:bidi="ar-SA"/>
        </w:rPr>
      </w:pPr>
      <w:r>
        <w:rPr>
          <w:rFonts w:hint="eastAsia" w:ascii="Times New Roman" w:hAnsi="Times New Roman" w:eastAsia="方正仿宋简体" w:cs="Times New Roman"/>
          <w:color w:val="000000"/>
          <w:kern w:val="2"/>
          <w:sz w:val="32"/>
          <w:szCs w:val="32"/>
          <w:lang w:val="en-US" w:eastAsia="zh-CN" w:bidi="ar-SA"/>
        </w:rPr>
        <w:t xml:space="preserve">6.年初结转和结余：指以前年度尚未完成、结转到本年按有关规定继续使用的资金。 </w:t>
      </w:r>
    </w:p>
    <w:p>
      <w:pPr>
        <w:numPr>
          <w:ilvl w:val="0"/>
          <w:numId w:val="0"/>
        </w:numPr>
        <w:spacing w:line="580" w:lineRule="exact"/>
        <w:ind w:firstLine="640" w:firstLineChars="200"/>
        <w:rPr>
          <w:rFonts w:hint="eastAsia" w:ascii="Times New Roman" w:hAnsi="Times New Roman" w:eastAsia="方正仿宋简体" w:cs="Times New Roman"/>
          <w:color w:val="000000"/>
          <w:kern w:val="2"/>
          <w:sz w:val="32"/>
          <w:szCs w:val="32"/>
          <w:lang w:val="en-US" w:eastAsia="zh-CN" w:bidi="ar-SA"/>
        </w:rPr>
      </w:pPr>
      <w:r>
        <w:rPr>
          <w:rFonts w:hint="eastAsia" w:ascii="Times New Roman" w:hAnsi="Times New Roman" w:eastAsia="方正仿宋简体" w:cs="Times New Roman"/>
          <w:color w:val="000000"/>
          <w:kern w:val="2"/>
          <w:sz w:val="32"/>
          <w:szCs w:val="32"/>
          <w:lang w:val="en-US" w:eastAsia="zh-CN" w:bidi="ar-SA"/>
        </w:rPr>
        <w:t>7.结余分配：指事业单位按照事业单位会计制度的规定从非财政补助结余中分配的事业基金和职工福利基金等。</w:t>
      </w:r>
    </w:p>
    <w:p>
      <w:pPr>
        <w:numPr>
          <w:ilvl w:val="0"/>
          <w:numId w:val="0"/>
        </w:numPr>
        <w:spacing w:line="580" w:lineRule="exact"/>
        <w:ind w:firstLine="640" w:firstLineChars="200"/>
        <w:rPr>
          <w:rFonts w:hint="eastAsia" w:ascii="Times New Roman" w:hAnsi="Times New Roman" w:eastAsia="方正仿宋简体" w:cs="Times New Roman"/>
          <w:color w:val="000000"/>
          <w:kern w:val="2"/>
          <w:sz w:val="32"/>
          <w:szCs w:val="32"/>
          <w:lang w:val="en-US" w:eastAsia="zh-CN" w:bidi="ar-SA"/>
        </w:rPr>
      </w:pPr>
      <w:r>
        <w:rPr>
          <w:rFonts w:hint="eastAsia" w:ascii="Times New Roman" w:hAnsi="Times New Roman" w:eastAsia="方正仿宋简体" w:cs="Times New Roman"/>
          <w:color w:val="000000"/>
          <w:kern w:val="2"/>
          <w:sz w:val="32"/>
          <w:szCs w:val="32"/>
          <w:lang w:val="en-US" w:eastAsia="zh-CN" w:bidi="ar-SA"/>
        </w:rPr>
        <w:t>8、年末结转和结余：指单位按有关规定结转到下年或以后年度继续使用的资金。</w:t>
      </w:r>
    </w:p>
    <w:p>
      <w:pPr>
        <w:numPr>
          <w:ilvl w:val="0"/>
          <w:numId w:val="0"/>
        </w:numPr>
        <w:spacing w:line="580" w:lineRule="exact"/>
        <w:ind w:firstLine="640" w:firstLineChars="200"/>
        <w:rPr>
          <w:rFonts w:hint="eastAsia" w:ascii="Times New Roman" w:hAnsi="Times New Roman" w:eastAsia="方正仿宋简体" w:cs="Times New Roman"/>
          <w:color w:val="000000"/>
          <w:kern w:val="2"/>
          <w:sz w:val="32"/>
          <w:szCs w:val="32"/>
          <w:lang w:val="en-US" w:eastAsia="zh-CN" w:bidi="ar-SA"/>
        </w:rPr>
      </w:pPr>
      <w:r>
        <w:rPr>
          <w:rFonts w:hint="eastAsia" w:ascii="Times New Roman" w:hAnsi="Times New Roman" w:eastAsia="方正仿宋简体" w:cs="Times New Roman"/>
          <w:color w:val="000000"/>
          <w:kern w:val="2"/>
          <w:sz w:val="32"/>
          <w:szCs w:val="32"/>
          <w:lang w:val="en-US" w:eastAsia="zh-CN" w:bidi="ar-SA"/>
        </w:rPr>
        <w:t>9.社会保障和就业：指指机关事业单位基本养老保险缴费。</w:t>
      </w:r>
    </w:p>
    <w:p>
      <w:pPr>
        <w:numPr>
          <w:ilvl w:val="0"/>
          <w:numId w:val="0"/>
        </w:numPr>
        <w:spacing w:line="580" w:lineRule="exact"/>
        <w:ind w:firstLine="640" w:firstLineChars="200"/>
        <w:rPr>
          <w:rFonts w:hint="eastAsia" w:ascii="Times New Roman" w:hAnsi="Times New Roman" w:eastAsia="方正仿宋简体" w:cs="Times New Roman"/>
          <w:color w:val="000000"/>
          <w:kern w:val="2"/>
          <w:sz w:val="32"/>
          <w:szCs w:val="32"/>
          <w:lang w:val="en-US" w:eastAsia="zh-CN" w:bidi="ar-SA"/>
        </w:rPr>
      </w:pPr>
      <w:r>
        <w:rPr>
          <w:rFonts w:hint="eastAsia" w:ascii="Times New Roman" w:hAnsi="Times New Roman" w:eastAsia="方正仿宋简体" w:cs="Times New Roman"/>
          <w:color w:val="000000"/>
          <w:kern w:val="2"/>
          <w:sz w:val="32"/>
          <w:szCs w:val="32"/>
          <w:lang w:val="en-US" w:eastAsia="zh-CN" w:bidi="ar-SA"/>
        </w:rPr>
        <w:t>10.医疗卫生与计划生育：指指机关事业医疗支出及公务员医疗补助。</w:t>
      </w:r>
    </w:p>
    <w:p>
      <w:pPr>
        <w:numPr>
          <w:ilvl w:val="0"/>
          <w:numId w:val="0"/>
        </w:numPr>
        <w:spacing w:line="580" w:lineRule="exact"/>
        <w:ind w:firstLine="640" w:firstLineChars="200"/>
        <w:rPr>
          <w:rFonts w:hint="eastAsia" w:ascii="Times New Roman" w:hAnsi="Times New Roman" w:eastAsia="方正仿宋简体" w:cs="Times New Roman"/>
          <w:color w:val="000000"/>
          <w:kern w:val="2"/>
          <w:sz w:val="32"/>
          <w:szCs w:val="32"/>
          <w:lang w:val="en-US" w:eastAsia="zh-CN" w:bidi="ar-SA"/>
        </w:rPr>
      </w:pPr>
      <w:r>
        <w:rPr>
          <w:rFonts w:hint="eastAsia" w:ascii="Times New Roman" w:hAnsi="Times New Roman" w:eastAsia="方正仿宋简体" w:cs="Times New Roman"/>
          <w:color w:val="000000"/>
          <w:kern w:val="2"/>
          <w:sz w:val="32"/>
          <w:szCs w:val="32"/>
          <w:lang w:val="en-US" w:eastAsia="zh-CN" w:bidi="ar-SA"/>
        </w:rPr>
        <w:t>11.住房保障：指指机关事业单位职工住房公积金缴费。</w:t>
      </w:r>
    </w:p>
    <w:p>
      <w:pPr>
        <w:numPr>
          <w:ilvl w:val="0"/>
          <w:numId w:val="0"/>
        </w:numPr>
        <w:spacing w:line="580" w:lineRule="exact"/>
        <w:ind w:firstLine="640" w:firstLineChars="200"/>
        <w:rPr>
          <w:rFonts w:hint="eastAsia" w:ascii="Times New Roman" w:hAnsi="Times New Roman" w:eastAsia="方正仿宋简体" w:cs="Times New Roman"/>
          <w:color w:val="000000"/>
          <w:kern w:val="2"/>
          <w:sz w:val="32"/>
          <w:szCs w:val="32"/>
          <w:lang w:val="en-US" w:eastAsia="zh-CN" w:bidi="ar-SA"/>
        </w:rPr>
      </w:pPr>
      <w:r>
        <w:rPr>
          <w:rFonts w:hint="eastAsia" w:ascii="Times New Roman" w:hAnsi="Times New Roman" w:eastAsia="方正仿宋简体" w:cs="Times New Roman"/>
          <w:color w:val="000000"/>
          <w:kern w:val="2"/>
          <w:sz w:val="32"/>
          <w:szCs w:val="32"/>
          <w:lang w:val="en-US" w:eastAsia="zh-CN" w:bidi="ar-SA"/>
        </w:rPr>
        <w:t>12.基本支出：指为保障机构正常运转、完成日常工作任务而发生的人员支出和公用支出。</w:t>
      </w:r>
    </w:p>
    <w:p>
      <w:pPr>
        <w:numPr>
          <w:ilvl w:val="0"/>
          <w:numId w:val="0"/>
        </w:numPr>
        <w:spacing w:line="580" w:lineRule="exact"/>
        <w:ind w:firstLine="640" w:firstLineChars="200"/>
        <w:rPr>
          <w:rFonts w:hint="eastAsia" w:ascii="Times New Roman" w:hAnsi="Times New Roman" w:eastAsia="方正仿宋简体" w:cs="Times New Roman"/>
          <w:color w:val="000000"/>
          <w:kern w:val="2"/>
          <w:sz w:val="32"/>
          <w:szCs w:val="32"/>
          <w:lang w:val="en-US" w:eastAsia="zh-CN" w:bidi="ar-SA"/>
        </w:rPr>
      </w:pPr>
      <w:r>
        <w:rPr>
          <w:rFonts w:hint="eastAsia" w:ascii="Times New Roman" w:hAnsi="Times New Roman" w:eastAsia="方正仿宋简体" w:cs="Times New Roman"/>
          <w:color w:val="000000"/>
          <w:kern w:val="2"/>
          <w:sz w:val="32"/>
          <w:szCs w:val="32"/>
          <w:lang w:val="en-US" w:eastAsia="zh-CN" w:bidi="ar-SA"/>
        </w:rPr>
        <w:t xml:space="preserve">13.项目支出：指在基本支出之外为完成特定行政任务和事业发展目标所发生的支出。 </w:t>
      </w:r>
    </w:p>
    <w:p>
      <w:pPr>
        <w:numPr>
          <w:ilvl w:val="0"/>
          <w:numId w:val="0"/>
        </w:numPr>
        <w:spacing w:line="580" w:lineRule="exact"/>
        <w:ind w:firstLine="640" w:firstLineChars="200"/>
        <w:rPr>
          <w:rFonts w:hint="eastAsia" w:ascii="Times New Roman" w:hAnsi="Times New Roman" w:eastAsia="方正仿宋简体" w:cs="Times New Roman"/>
          <w:color w:val="000000"/>
          <w:kern w:val="2"/>
          <w:sz w:val="32"/>
          <w:szCs w:val="32"/>
          <w:lang w:val="en-US" w:eastAsia="zh-CN" w:bidi="ar-SA"/>
        </w:rPr>
      </w:pPr>
      <w:r>
        <w:rPr>
          <w:rFonts w:hint="eastAsia" w:ascii="Times New Roman" w:hAnsi="Times New Roman" w:eastAsia="方正仿宋简体" w:cs="Times New Roman"/>
          <w:color w:val="000000"/>
          <w:kern w:val="2"/>
          <w:sz w:val="32"/>
          <w:szCs w:val="32"/>
          <w:lang w:val="en-US" w:eastAsia="zh-CN" w:bidi="ar-SA"/>
        </w:rPr>
        <w:t>14.经营支出：指事业单位在专业业务活动及其辅助活动之外开展非独立核算经营活动发生的支出。</w:t>
      </w:r>
    </w:p>
    <w:p>
      <w:pPr>
        <w:numPr>
          <w:ilvl w:val="0"/>
          <w:numId w:val="0"/>
        </w:numPr>
        <w:spacing w:line="580" w:lineRule="exact"/>
        <w:ind w:firstLine="640" w:firstLineChars="200"/>
        <w:rPr>
          <w:rFonts w:hint="eastAsia" w:ascii="Times New Roman" w:hAnsi="Times New Roman" w:eastAsia="方正仿宋简体" w:cs="Times New Roman"/>
          <w:color w:val="000000"/>
          <w:kern w:val="2"/>
          <w:sz w:val="32"/>
          <w:szCs w:val="32"/>
          <w:lang w:val="en-US" w:eastAsia="zh-CN" w:bidi="ar-SA"/>
        </w:rPr>
      </w:pPr>
      <w:r>
        <w:rPr>
          <w:rFonts w:hint="eastAsia" w:ascii="Times New Roman" w:hAnsi="Times New Roman" w:eastAsia="方正仿宋简体" w:cs="Times New Roman"/>
          <w:color w:val="000000"/>
          <w:kern w:val="2"/>
          <w:sz w:val="32"/>
          <w:szCs w:val="32"/>
          <w:lang w:val="en-US" w:eastAsia="zh-CN" w:bidi="ar-SA"/>
        </w:rPr>
        <w:t>15.“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numPr>
          <w:ilvl w:val="0"/>
          <w:numId w:val="0"/>
        </w:numPr>
        <w:spacing w:line="580" w:lineRule="exact"/>
        <w:ind w:firstLine="640" w:firstLineChars="200"/>
        <w:rPr>
          <w:rFonts w:hint="eastAsia" w:ascii="Times New Roman" w:hAnsi="Times New Roman" w:eastAsia="方正仿宋简体" w:cs="Times New Roman"/>
          <w:color w:val="000000"/>
          <w:kern w:val="2"/>
          <w:sz w:val="32"/>
          <w:szCs w:val="32"/>
          <w:lang w:val="en-US" w:eastAsia="zh-CN" w:bidi="ar-SA"/>
        </w:rPr>
      </w:pPr>
      <w:bookmarkStart w:id="57" w:name="_Toc15396614"/>
      <w:bookmarkStart w:id="58" w:name="_Toc15377226"/>
    </w:p>
    <w:p>
      <w:pPr>
        <w:numPr>
          <w:ilvl w:val="0"/>
          <w:numId w:val="0"/>
        </w:numPr>
        <w:spacing w:line="580" w:lineRule="exact"/>
        <w:ind w:firstLine="640" w:firstLineChars="200"/>
        <w:rPr>
          <w:rFonts w:hint="eastAsia" w:ascii="Times New Roman" w:hAnsi="Times New Roman" w:eastAsia="方正仿宋简体" w:cs="Times New Roman"/>
          <w:color w:val="000000"/>
          <w:kern w:val="2"/>
          <w:sz w:val="32"/>
          <w:szCs w:val="32"/>
          <w:lang w:val="en-US" w:eastAsia="zh-CN" w:bidi="ar-SA"/>
        </w:rPr>
      </w:pPr>
    </w:p>
    <w:p>
      <w:pPr>
        <w:spacing w:line="600" w:lineRule="exact"/>
        <w:jc w:val="center"/>
        <w:outlineLvl w:val="0"/>
        <w:rPr>
          <w:rFonts w:hint="eastAsia" w:ascii="宋体" w:hAnsi="宋体" w:eastAsia="宋体" w:cs="宋体"/>
          <w:color w:val="000000"/>
          <w:sz w:val="28"/>
          <w:szCs w:val="28"/>
        </w:rPr>
      </w:pPr>
    </w:p>
    <w:p>
      <w:pPr>
        <w:spacing w:line="600" w:lineRule="exact"/>
        <w:jc w:val="center"/>
        <w:outlineLvl w:val="0"/>
        <w:rPr>
          <w:rFonts w:hint="eastAsia" w:ascii="宋体" w:hAnsi="宋体" w:eastAsia="宋体" w:cs="宋体"/>
          <w:color w:val="000000"/>
          <w:sz w:val="28"/>
          <w:szCs w:val="28"/>
        </w:rPr>
      </w:pPr>
    </w:p>
    <w:p>
      <w:pPr>
        <w:spacing w:line="600" w:lineRule="exact"/>
        <w:jc w:val="center"/>
        <w:outlineLvl w:val="0"/>
        <w:rPr>
          <w:rFonts w:hint="eastAsia" w:ascii="宋体" w:hAnsi="宋体" w:eastAsia="宋体" w:cs="宋体"/>
          <w:color w:val="000000"/>
          <w:sz w:val="28"/>
          <w:szCs w:val="28"/>
        </w:rPr>
      </w:pPr>
    </w:p>
    <w:p>
      <w:pPr>
        <w:spacing w:line="600" w:lineRule="exact"/>
        <w:jc w:val="center"/>
        <w:outlineLvl w:val="0"/>
        <w:rPr>
          <w:rFonts w:hint="eastAsia" w:ascii="宋体" w:hAnsi="宋体" w:eastAsia="宋体" w:cs="宋体"/>
          <w:color w:val="000000"/>
          <w:sz w:val="28"/>
          <w:szCs w:val="28"/>
        </w:rPr>
      </w:pPr>
    </w:p>
    <w:p>
      <w:pPr>
        <w:spacing w:line="600" w:lineRule="exact"/>
        <w:jc w:val="center"/>
        <w:outlineLvl w:val="0"/>
        <w:rPr>
          <w:rFonts w:hint="eastAsia" w:ascii="宋体" w:hAnsi="宋体" w:eastAsia="宋体" w:cs="宋体"/>
          <w:color w:val="000000"/>
          <w:sz w:val="28"/>
          <w:szCs w:val="28"/>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四部分 附件</w:t>
      </w:r>
      <w:bookmarkEnd w:id="57"/>
    </w:p>
    <w:p>
      <w:pPr>
        <w:spacing w:line="600" w:lineRule="exact"/>
        <w:jc w:val="center"/>
        <w:outlineLvl w:val="0"/>
        <w:rPr>
          <w:rStyle w:val="24"/>
        </w:rPr>
      </w:pPr>
    </w:p>
    <w:p>
      <w:pPr>
        <w:pStyle w:val="3"/>
        <w:rPr>
          <w:rStyle w:val="24"/>
          <w:rFonts w:ascii="仿宋" w:hAnsi="仿宋" w:eastAsia="仿宋"/>
          <w:b w:val="0"/>
          <w:bCs w:val="0"/>
          <w:sz w:val="32"/>
          <w:szCs w:val="32"/>
        </w:rPr>
      </w:pPr>
      <w:bookmarkStart w:id="59" w:name="_Toc15396615"/>
      <w:r>
        <w:rPr>
          <w:rStyle w:val="24"/>
          <w:rFonts w:hint="eastAsia" w:ascii="仿宋" w:hAnsi="仿宋" w:eastAsia="仿宋"/>
          <w:b w:val="0"/>
          <w:bCs w:val="0"/>
          <w:sz w:val="32"/>
          <w:szCs w:val="32"/>
        </w:rPr>
        <w:t>附件1</w:t>
      </w:r>
      <w:bookmarkEnd w:id="59"/>
    </w:p>
    <w:p>
      <w:pPr>
        <w:spacing w:line="600" w:lineRule="exact"/>
        <w:jc w:val="center"/>
        <w:outlineLvl w:val="0"/>
        <w:rPr>
          <w:rFonts w:hint="eastAsia" w:ascii="黑体" w:hAnsi="黑体" w:eastAsia="黑体" w:cs="方正小标宋简体"/>
          <w:sz w:val="36"/>
          <w:szCs w:val="36"/>
        </w:rPr>
      </w:pPr>
      <w:bookmarkStart w:id="60" w:name="_Toc15396616"/>
      <w:r>
        <w:rPr>
          <w:rFonts w:hint="eastAsia" w:ascii="黑体" w:hAnsi="黑体" w:eastAsia="黑体" w:cs="方正小标宋简体"/>
          <w:sz w:val="36"/>
          <w:szCs w:val="36"/>
        </w:rPr>
        <w:t>开江县</w:t>
      </w:r>
      <w:r>
        <w:rPr>
          <w:rFonts w:hint="eastAsia" w:ascii="黑体" w:hAnsi="黑体" w:eastAsia="黑体" w:cs="方正小标宋简体"/>
          <w:sz w:val="36"/>
          <w:szCs w:val="36"/>
          <w:lang w:eastAsia="zh-CN"/>
        </w:rPr>
        <w:t>八庙镇</w:t>
      </w:r>
      <w:r>
        <w:rPr>
          <w:rFonts w:hint="eastAsia" w:ascii="黑体" w:hAnsi="黑体" w:eastAsia="黑体" w:cs="方正小标宋简体"/>
          <w:sz w:val="36"/>
          <w:szCs w:val="36"/>
        </w:rPr>
        <w:t>中心小学</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部门</w:t>
      </w:r>
      <w:r>
        <w:rPr>
          <w:rFonts w:hint="eastAsia" w:ascii="黑体" w:hAnsi="黑体" w:eastAsia="黑体" w:cs="方正小标宋简体"/>
          <w:sz w:val="36"/>
          <w:szCs w:val="36"/>
          <w:lang w:eastAsia="zh-CN"/>
        </w:rPr>
        <w:t>2020</w:t>
      </w:r>
      <w:r>
        <w:rPr>
          <w:rFonts w:hint="eastAsia" w:ascii="黑体" w:hAnsi="黑体" w:eastAsia="黑体" w:cs="方正小标宋简体"/>
          <w:sz w:val="36"/>
          <w:szCs w:val="36"/>
        </w:rPr>
        <w:t>年部门整体支出绩效评价报告</w:t>
      </w:r>
      <w:bookmarkEnd w:id="60"/>
    </w:p>
    <w:p>
      <w:pPr>
        <w:spacing w:line="580" w:lineRule="exact"/>
        <w:ind w:firstLine="640" w:firstLineChars="200"/>
        <w:rPr>
          <w:rFonts w:ascii="黑体" w:hAnsi="黑体" w:eastAsia="黑体" w:cs="黑体"/>
          <w:sz w:val="32"/>
          <w:szCs w:val="32"/>
        </w:rPr>
      </w:pP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一、部门（单位）概况</w:t>
      </w:r>
    </w:p>
    <w:p>
      <w:pPr>
        <w:numPr>
          <w:ilvl w:val="0"/>
          <w:numId w:val="0"/>
        </w:numPr>
        <w:spacing w:line="580" w:lineRule="exact"/>
        <w:ind w:firstLine="640" w:firstLineChars="200"/>
        <w:rPr>
          <w:rFonts w:hint="eastAsia" w:ascii="Times New Roman" w:hAnsi="Times New Roman" w:eastAsia="方正仿宋简体" w:cs="Times New Roman"/>
          <w:color w:val="000000"/>
          <w:kern w:val="2"/>
          <w:sz w:val="32"/>
          <w:szCs w:val="32"/>
          <w:lang w:val="en" w:eastAsia="zh-CN" w:bidi="ar-SA"/>
        </w:rPr>
      </w:pPr>
      <w:r>
        <w:rPr>
          <w:rFonts w:hint="eastAsia" w:ascii="Times New Roman" w:hAnsi="Times New Roman" w:eastAsia="方正仿宋简体" w:cs="Times New Roman"/>
          <w:color w:val="000000"/>
          <w:kern w:val="2"/>
          <w:sz w:val="32"/>
          <w:szCs w:val="32"/>
          <w:lang w:val="en" w:eastAsia="zh-CN" w:bidi="ar-SA"/>
        </w:rPr>
        <w:t>我校是一所农村义务教育学校，创办于1952年9月，位于八庙镇新兴街</w:t>
      </w:r>
      <w:r>
        <w:rPr>
          <w:rFonts w:hint="eastAsia" w:ascii="Times New Roman" w:hAnsi="Times New Roman" w:eastAsia="方正仿宋简体" w:cs="Times New Roman"/>
          <w:color w:val="000000"/>
          <w:kern w:val="2"/>
          <w:sz w:val="32"/>
          <w:szCs w:val="32"/>
          <w:lang w:val="en-US" w:eastAsia="zh-CN" w:bidi="ar-SA"/>
        </w:rPr>
        <w:t>55</w:t>
      </w:r>
      <w:r>
        <w:rPr>
          <w:rFonts w:hint="eastAsia" w:ascii="Times New Roman" w:hAnsi="Times New Roman" w:eastAsia="方正仿宋简体" w:cs="Times New Roman"/>
          <w:color w:val="000000"/>
          <w:kern w:val="2"/>
          <w:sz w:val="32"/>
          <w:szCs w:val="32"/>
          <w:lang w:val="en" w:eastAsia="zh-CN" w:bidi="ar-SA"/>
        </w:rPr>
        <w:t>号，辖区目前有石和寨小学和马鞍山小学两所村级小学。</w:t>
      </w:r>
    </w:p>
    <w:p>
      <w:pPr>
        <w:numPr>
          <w:ilvl w:val="0"/>
          <w:numId w:val="0"/>
        </w:numPr>
        <w:spacing w:line="580" w:lineRule="exact"/>
        <w:ind w:firstLine="640" w:firstLineChars="200"/>
        <w:rPr>
          <w:rFonts w:hint="eastAsia" w:ascii="Times New Roman" w:hAnsi="Times New Roman" w:eastAsia="方正仿宋简体" w:cs="Times New Roman"/>
          <w:color w:val="000000"/>
          <w:kern w:val="2"/>
          <w:sz w:val="32"/>
          <w:szCs w:val="32"/>
          <w:lang w:val="en" w:eastAsia="zh-CN" w:bidi="ar-SA"/>
        </w:rPr>
      </w:pPr>
      <w:r>
        <w:rPr>
          <w:rFonts w:hint="eastAsia" w:ascii="Times New Roman" w:hAnsi="Times New Roman" w:eastAsia="方正仿宋简体" w:cs="Times New Roman"/>
          <w:color w:val="000000"/>
          <w:kern w:val="2"/>
          <w:sz w:val="32"/>
          <w:szCs w:val="32"/>
          <w:lang w:val="en" w:eastAsia="zh-CN" w:bidi="ar-SA"/>
        </w:rPr>
        <w:t>单位职责主要是实施小学义务教育，促进教育事业发展。</w:t>
      </w:r>
    </w:p>
    <w:p>
      <w:pPr>
        <w:numPr>
          <w:ilvl w:val="0"/>
          <w:numId w:val="0"/>
        </w:numPr>
        <w:spacing w:line="580" w:lineRule="exact"/>
        <w:ind w:firstLine="640" w:firstLineChars="200"/>
        <w:rPr>
          <w:rFonts w:hint="eastAsia" w:ascii="Times New Roman" w:hAnsi="Times New Roman" w:eastAsia="方正仿宋简体" w:cs="Times New Roman"/>
          <w:color w:val="000000"/>
          <w:kern w:val="2"/>
          <w:sz w:val="32"/>
          <w:szCs w:val="32"/>
          <w:lang w:val="en" w:eastAsia="zh-CN" w:bidi="ar-SA"/>
        </w:rPr>
      </w:pPr>
      <w:r>
        <w:rPr>
          <w:rFonts w:hint="eastAsia" w:ascii="Times New Roman" w:hAnsi="Times New Roman" w:eastAsia="方正仿宋简体" w:cs="Times New Roman"/>
          <w:color w:val="000000"/>
          <w:kern w:val="2"/>
          <w:sz w:val="32"/>
          <w:szCs w:val="32"/>
          <w:lang w:val="en" w:eastAsia="zh-CN" w:bidi="ar-SA"/>
        </w:rPr>
        <w:t>我校是独立核算的财政全额拨款事业单位，执行事业单位会计制度，编制部门给我校核定事业编制</w:t>
      </w:r>
      <w:r>
        <w:rPr>
          <w:rFonts w:hint="eastAsia" w:ascii="Times New Roman" w:hAnsi="Times New Roman" w:eastAsia="方正仿宋简体" w:cs="Times New Roman"/>
          <w:color w:val="000000"/>
          <w:kern w:val="2"/>
          <w:sz w:val="32"/>
          <w:szCs w:val="32"/>
          <w:lang w:val="en-US" w:eastAsia="zh-CN" w:bidi="ar-SA"/>
        </w:rPr>
        <w:t>58</w:t>
      </w:r>
      <w:r>
        <w:rPr>
          <w:rFonts w:hint="eastAsia" w:ascii="Times New Roman" w:hAnsi="Times New Roman" w:eastAsia="方正仿宋简体" w:cs="Times New Roman"/>
          <w:color w:val="000000"/>
          <w:kern w:val="2"/>
          <w:sz w:val="32"/>
          <w:szCs w:val="32"/>
          <w:lang w:val="en" w:eastAsia="zh-CN" w:bidi="ar-SA"/>
        </w:rPr>
        <w:t>个，2020年末我校共有在职教职员工</w:t>
      </w:r>
      <w:r>
        <w:rPr>
          <w:rFonts w:hint="eastAsia" w:ascii="Times New Roman" w:hAnsi="Times New Roman" w:eastAsia="方正仿宋简体" w:cs="Times New Roman"/>
          <w:color w:val="000000"/>
          <w:kern w:val="2"/>
          <w:sz w:val="32"/>
          <w:szCs w:val="32"/>
          <w:lang w:val="en-US" w:eastAsia="zh-CN" w:bidi="ar-SA"/>
        </w:rPr>
        <w:t>59</w:t>
      </w:r>
      <w:r>
        <w:rPr>
          <w:rFonts w:hint="eastAsia" w:ascii="Times New Roman" w:hAnsi="Times New Roman" w:eastAsia="方正仿宋简体" w:cs="Times New Roman"/>
          <w:color w:val="000000"/>
          <w:kern w:val="2"/>
          <w:sz w:val="32"/>
          <w:szCs w:val="32"/>
          <w:lang w:val="en" w:eastAsia="zh-CN" w:bidi="ar-SA"/>
        </w:rPr>
        <w:t>人，退休人</w:t>
      </w:r>
      <w:r>
        <w:rPr>
          <w:rFonts w:hint="eastAsia" w:ascii="Times New Roman" w:hAnsi="Times New Roman" w:eastAsia="方正仿宋简体" w:cs="Times New Roman"/>
          <w:color w:val="000000"/>
          <w:kern w:val="2"/>
          <w:sz w:val="32"/>
          <w:szCs w:val="32"/>
          <w:lang w:val="en-US" w:eastAsia="zh-CN" w:bidi="ar-SA"/>
        </w:rPr>
        <w:t>56</w:t>
      </w:r>
      <w:r>
        <w:rPr>
          <w:rFonts w:hint="eastAsia" w:ascii="Times New Roman" w:hAnsi="Times New Roman" w:eastAsia="方正仿宋简体" w:cs="Times New Roman"/>
          <w:color w:val="000000"/>
          <w:kern w:val="2"/>
          <w:sz w:val="32"/>
          <w:szCs w:val="32"/>
          <w:lang w:val="en" w:eastAsia="zh-CN" w:bidi="ar-SA"/>
        </w:rPr>
        <w:t>人。</w:t>
      </w:r>
    </w:p>
    <w:p>
      <w:pPr>
        <w:numPr>
          <w:ilvl w:val="0"/>
          <w:numId w:val="0"/>
        </w:numPr>
        <w:spacing w:line="580" w:lineRule="exact"/>
        <w:ind w:firstLine="640" w:firstLineChars="200"/>
        <w:rPr>
          <w:rFonts w:hint="eastAsia" w:ascii="Times New Roman" w:hAnsi="Times New Roman" w:eastAsia="方正仿宋简体" w:cs="Times New Roman"/>
          <w:color w:val="000000"/>
          <w:kern w:val="2"/>
          <w:sz w:val="32"/>
          <w:szCs w:val="32"/>
          <w:lang w:val="en" w:eastAsia="zh-CN" w:bidi="ar-SA"/>
        </w:rPr>
      </w:pPr>
      <w:r>
        <w:rPr>
          <w:rFonts w:hint="eastAsia" w:ascii="Times New Roman" w:hAnsi="Times New Roman" w:eastAsia="方正仿宋简体" w:cs="Times New Roman"/>
          <w:color w:val="000000"/>
          <w:kern w:val="2"/>
          <w:sz w:val="32"/>
          <w:szCs w:val="32"/>
          <w:lang w:val="en" w:eastAsia="zh-CN" w:bidi="ar-SA"/>
        </w:rPr>
        <w:t>单位内设机构：教务处、政教处、财务室、大队部、工会等5个科室。</w:t>
      </w:r>
    </w:p>
    <w:p>
      <w:pPr>
        <w:numPr>
          <w:ilvl w:val="0"/>
          <w:numId w:val="0"/>
        </w:numPr>
        <w:spacing w:line="580" w:lineRule="exact"/>
        <w:ind w:firstLine="640" w:firstLineChars="200"/>
        <w:rPr>
          <w:rFonts w:hint="eastAsia" w:ascii="Times New Roman" w:hAnsi="Times New Roman" w:eastAsia="方正仿宋简体" w:cs="Times New Roman"/>
          <w:color w:val="000000"/>
          <w:kern w:val="2"/>
          <w:sz w:val="32"/>
          <w:szCs w:val="32"/>
          <w:lang w:val="en" w:eastAsia="zh-CN" w:bidi="ar-SA"/>
        </w:rPr>
      </w:pPr>
      <w:r>
        <w:rPr>
          <w:rFonts w:hint="eastAsia" w:ascii="Times New Roman" w:hAnsi="Times New Roman" w:eastAsia="方正仿宋简体" w:cs="Times New Roman"/>
          <w:color w:val="000000"/>
          <w:kern w:val="2"/>
          <w:sz w:val="32"/>
          <w:szCs w:val="32"/>
          <w:lang w:val="en" w:eastAsia="zh-CN" w:bidi="ar-SA"/>
        </w:rPr>
        <w:t>我校共有</w:t>
      </w:r>
      <w:r>
        <w:rPr>
          <w:rFonts w:hint="eastAsia" w:ascii="Times New Roman" w:hAnsi="Times New Roman" w:eastAsia="方正仿宋简体" w:cs="Times New Roman"/>
          <w:color w:val="000000"/>
          <w:kern w:val="2"/>
          <w:sz w:val="32"/>
          <w:szCs w:val="32"/>
          <w:lang w:val="en-US" w:eastAsia="zh-CN" w:bidi="ar-SA"/>
        </w:rPr>
        <w:t>18</w:t>
      </w:r>
      <w:r>
        <w:rPr>
          <w:rFonts w:hint="eastAsia" w:ascii="Times New Roman" w:hAnsi="Times New Roman" w:eastAsia="方正仿宋简体" w:cs="Times New Roman"/>
          <w:color w:val="000000"/>
          <w:kern w:val="2"/>
          <w:sz w:val="32"/>
          <w:szCs w:val="32"/>
          <w:lang w:val="en" w:eastAsia="zh-CN" w:bidi="ar-SA"/>
        </w:rPr>
        <w:t>个教学班，</w:t>
      </w:r>
      <w:r>
        <w:rPr>
          <w:rFonts w:hint="eastAsia" w:ascii="Times New Roman" w:hAnsi="Times New Roman" w:eastAsia="方正仿宋简体" w:cs="Times New Roman"/>
          <w:color w:val="000000"/>
          <w:kern w:val="2"/>
          <w:sz w:val="32"/>
          <w:szCs w:val="32"/>
          <w:lang w:val="en-US" w:eastAsia="zh-CN" w:bidi="ar-SA"/>
        </w:rPr>
        <w:t>821</w:t>
      </w:r>
      <w:r>
        <w:rPr>
          <w:rFonts w:hint="eastAsia" w:ascii="Times New Roman" w:hAnsi="Times New Roman" w:eastAsia="方正仿宋简体" w:cs="Times New Roman"/>
          <w:color w:val="000000"/>
          <w:kern w:val="2"/>
          <w:sz w:val="32"/>
          <w:szCs w:val="32"/>
          <w:lang w:val="en" w:eastAsia="zh-CN" w:bidi="ar-SA"/>
        </w:rPr>
        <w:t>名学生。</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hint="eastAsia" w:ascii="仿宋" w:hAnsi="仿宋" w:eastAsia="仿宋" w:cs="仿宋_GB2312"/>
          <w:sz w:val="32"/>
          <w:szCs w:val="32"/>
        </w:rPr>
      </w:pPr>
      <w:r>
        <w:rPr>
          <w:rFonts w:ascii="仿宋" w:hAnsi="仿宋" w:eastAsia="仿宋" w:cs="仿宋_GB2312"/>
          <w:sz w:val="32"/>
          <w:szCs w:val="32"/>
        </w:rPr>
        <w:t>（一）部门财政资金收入情况</w:t>
      </w:r>
    </w:p>
    <w:p>
      <w:pPr>
        <w:spacing w:line="580" w:lineRule="exact"/>
        <w:ind w:firstLine="640" w:firstLineChars="200"/>
        <w:rPr>
          <w:rFonts w:hint="eastAsia" w:ascii="仿宋" w:hAnsi="仿宋" w:eastAsia="仿宋" w:cs="仿宋_GB2312"/>
          <w:sz w:val="32"/>
          <w:szCs w:val="32"/>
          <w:lang w:val="en"/>
        </w:rPr>
      </w:pPr>
      <w:r>
        <w:rPr>
          <w:rFonts w:hint="eastAsia" w:ascii="Times New Roman" w:hAnsi="Times New Roman" w:eastAsia="方正仿宋简体" w:cs="Times New Roman"/>
          <w:color w:val="000000"/>
          <w:kern w:val="2"/>
          <w:sz w:val="32"/>
          <w:szCs w:val="32"/>
          <w:lang w:val="en" w:eastAsia="zh-CN" w:bidi="ar-SA"/>
        </w:rPr>
        <w:t>2020年度我校总收入：</w:t>
      </w:r>
      <w:r>
        <w:rPr>
          <w:rFonts w:hint="eastAsia" w:ascii="Times New Roman" w:hAnsi="Times New Roman" w:eastAsia="方正仿宋简体" w:cs="Times New Roman"/>
          <w:color w:val="000000"/>
          <w:kern w:val="2"/>
          <w:sz w:val="32"/>
          <w:szCs w:val="32"/>
          <w:lang w:val="en-US" w:eastAsia="zh-CN" w:bidi="ar-SA"/>
        </w:rPr>
        <w:t>742.82</w:t>
      </w:r>
      <w:r>
        <w:rPr>
          <w:rFonts w:hint="eastAsia" w:ascii="Times New Roman" w:hAnsi="Times New Roman" w:eastAsia="方正仿宋简体" w:cs="Times New Roman"/>
          <w:color w:val="000000"/>
          <w:kern w:val="2"/>
          <w:sz w:val="32"/>
          <w:szCs w:val="32"/>
          <w:lang w:val="en" w:eastAsia="zh-CN" w:bidi="ar-SA"/>
        </w:rPr>
        <w:t>万元（财政补助收入7</w:t>
      </w:r>
      <w:r>
        <w:rPr>
          <w:rFonts w:hint="eastAsia" w:ascii="Times New Roman" w:hAnsi="Times New Roman" w:eastAsia="方正仿宋简体" w:cs="Times New Roman"/>
          <w:color w:val="000000"/>
          <w:kern w:val="2"/>
          <w:sz w:val="32"/>
          <w:szCs w:val="32"/>
          <w:lang w:val="en-US" w:eastAsia="zh-CN" w:bidi="ar-SA"/>
        </w:rPr>
        <w:t>42.82</w:t>
      </w:r>
      <w:r>
        <w:rPr>
          <w:rFonts w:hint="eastAsia" w:ascii="Times New Roman" w:hAnsi="Times New Roman" w:eastAsia="方正仿宋简体" w:cs="Times New Roman"/>
          <w:color w:val="000000"/>
          <w:kern w:val="2"/>
          <w:sz w:val="32"/>
          <w:szCs w:val="32"/>
          <w:lang w:val="en" w:eastAsia="zh-CN" w:bidi="ar-SA"/>
        </w:rPr>
        <w:t>万元），结转上年资金</w:t>
      </w:r>
      <w:r>
        <w:rPr>
          <w:rFonts w:hint="eastAsia" w:ascii="Times New Roman" w:hAnsi="Times New Roman" w:eastAsia="方正仿宋简体" w:cs="Times New Roman"/>
          <w:color w:val="000000"/>
          <w:kern w:val="2"/>
          <w:sz w:val="32"/>
          <w:szCs w:val="32"/>
          <w:lang w:val="en-US" w:eastAsia="zh-CN" w:bidi="ar-SA"/>
        </w:rPr>
        <w:t>0</w:t>
      </w:r>
      <w:r>
        <w:rPr>
          <w:rFonts w:hint="eastAsia" w:ascii="Times New Roman" w:hAnsi="Times New Roman" w:eastAsia="方正仿宋简体" w:cs="Times New Roman"/>
          <w:color w:val="000000"/>
          <w:kern w:val="2"/>
          <w:sz w:val="32"/>
          <w:szCs w:val="32"/>
          <w:lang w:val="en" w:eastAsia="zh-CN" w:bidi="ar-SA"/>
        </w:rPr>
        <w:t>万元，全年总支出</w:t>
      </w:r>
      <w:r>
        <w:rPr>
          <w:rFonts w:hint="eastAsia" w:ascii="Times New Roman" w:hAnsi="Times New Roman" w:eastAsia="方正仿宋简体" w:cs="Times New Roman"/>
          <w:color w:val="000000"/>
          <w:kern w:val="2"/>
          <w:sz w:val="32"/>
          <w:szCs w:val="32"/>
          <w:lang w:val="en-US" w:eastAsia="zh-CN" w:bidi="ar-SA"/>
        </w:rPr>
        <w:t>0</w:t>
      </w:r>
      <w:r>
        <w:rPr>
          <w:rFonts w:hint="eastAsia" w:ascii="Times New Roman" w:hAnsi="Times New Roman" w:eastAsia="方正仿宋简体" w:cs="Times New Roman"/>
          <w:color w:val="000000"/>
          <w:kern w:val="2"/>
          <w:sz w:val="32"/>
          <w:szCs w:val="32"/>
          <w:lang w:val="en" w:eastAsia="zh-CN" w:bidi="ar-SA"/>
        </w:rPr>
        <w:t>万元。</w:t>
      </w:r>
    </w:p>
    <w:p>
      <w:pPr>
        <w:spacing w:line="580" w:lineRule="exact"/>
        <w:ind w:firstLine="320" w:firstLineChars="100"/>
        <w:rPr>
          <w:rFonts w:ascii="仿宋" w:hAnsi="仿宋" w:eastAsia="仿宋" w:cs="仿宋_GB2312"/>
          <w:sz w:val="32"/>
          <w:szCs w:val="32"/>
        </w:rPr>
      </w:pPr>
      <w:r>
        <w:rPr>
          <w:rFonts w:ascii="仿宋" w:hAnsi="仿宋" w:eastAsia="仿宋" w:cs="仿宋_GB2312"/>
          <w:sz w:val="32"/>
          <w:szCs w:val="32"/>
        </w:rPr>
        <w:t>（二）部门财政资金支出情况</w:t>
      </w:r>
    </w:p>
    <w:p>
      <w:pPr>
        <w:spacing w:line="580" w:lineRule="exact"/>
        <w:ind w:firstLine="640" w:firstLineChars="200"/>
        <w:rPr>
          <w:rFonts w:hint="eastAsia" w:ascii="Times New Roman" w:hAnsi="Times New Roman" w:eastAsia="方正仿宋简体" w:cs="Times New Roman"/>
          <w:color w:val="000000"/>
          <w:kern w:val="2"/>
          <w:sz w:val="32"/>
          <w:szCs w:val="32"/>
          <w:lang w:val="en" w:eastAsia="zh-CN" w:bidi="ar-SA"/>
        </w:rPr>
      </w:pPr>
      <w:r>
        <w:rPr>
          <w:rFonts w:hint="eastAsia" w:ascii="Times New Roman" w:hAnsi="Times New Roman" w:eastAsia="方正仿宋简体" w:cs="Times New Roman"/>
          <w:color w:val="000000"/>
          <w:kern w:val="2"/>
          <w:sz w:val="32"/>
          <w:szCs w:val="32"/>
          <w:lang w:val="en" w:eastAsia="zh-CN" w:bidi="ar-SA"/>
        </w:rPr>
        <w:t>2020年一般公共预算财政拨款支出</w:t>
      </w:r>
      <w:r>
        <w:rPr>
          <w:rFonts w:hint="eastAsia" w:ascii="Times New Roman" w:hAnsi="Times New Roman" w:eastAsia="方正仿宋简体" w:cs="Times New Roman"/>
          <w:color w:val="000000"/>
          <w:kern w:val="2"/>
          <w:sz w:val="32"/>
          <w:szCs w:val="32"/>
          <w:lang w:val="en-US" w:eastAsia="zh-CN" w:bidi="ar-SA"/>
        </w:rPr>
        <w:t>742.81</w:t>
      </w:r>
      <w:r>
        <w:rPr>
          <w:rFonts w:hint="eastAsia" w:ascii="Times New Roman" w:hAnsi="Times New Roman" w:eastAsia="方正仿宋简体" w:cs="Times New Roman"/>
          <w:color w:val="000000"/>
          <w:kern w:val="2"/>
          <w:sz w:val="32"/>
          <w:szCs w:val="32"/>
          <w:lang w:val="en" w:eastAsia="zh-CN" w:bidi="ar-SA"/>
        </w:rPr>
        <w:t>万元，主要用于以下方面:一般公共服务（类）支出0万元，占0%；教育支出（类）</w:t>
      </w:r>
      <w:r>
        <w:rPr>
          <w:rFonts w:hint="eastAsia" w:ascii="Times New Roman" w:hAnsi="Times New Roman" w:eastAsia="方正仿宋简体" w:cs="Times New Roman"/>
          <w:color w:val="000000"/>
          <w:kern w:val="2"/>
          <w:sz w:val="32"/>
          <w:szCs w:val="32"/>
          <w:lang w:val="en-US" w:eastAsia="zh-CN" w:bidi="ar-SA"/>
        </w:rPr>
        <w:t>606.77</w:t>
      </w:r>
      <w:r>
        <w:rPr>
          <w:rFonts w:hint="eastAsia" w:ascii="Times New Roman" w:hAnsi="Times New Roman" w:eastAsia="方正仿宋简体" w:cs="Times New Roman"/>
          <w:color w:val="000000"/>
          <w:kern w:val="2"/>
          <w:sz w:val="32"/>
          <w:szCs w:val="32"/>
          <w:lang w:val="en" w:eastAsia="zh-CN" w:bidi="ar-SA"/>
        </w:rPr>
        <w:t>万元，占</w:t>
      </w:r>
      <w:r>
        <w:rPr>
          <w:rFonts w:hint="eastAsia" w:ascii="Times New Roman" w:hAnsi="Times New Roman" w:eastAsia="方正仿宋简体" w:cs="Times New Roman"/>
          <w:color w:val="000000"/>
          <w:kern w:val="2"/>
          <w:sz w:val="32"/>
          <w:szCs w:val="32"/>
          <w:lang w:val="en-US" w:eastAsia="zh-CN" w:bidi="ar-SA"/>
        </w:rPr>
        <w:t>82</w:t>
      </w:r>
      <w:r>
        <w:rPr>
          <w:rFonts w:hint="eastAsia" w:ascii="Times New Roman" w:hAnsi="Times New Roman" w:eastAsia="方正仿宋简体" w:cs="Times New Roman"/>
          <w:color w:val="000000"/>
          <w:kern w:val="2"/>
          <w:sz w:val="32"/>
          <w:szCs w:val="32"/>
          <w:lang w:val="en" w:eastAsia="zh-CN" w:bidi="ar-SA"/>
        </w:rPr>
        <w:t>%；科学技术（类）支出万元，占%；社会保障和就业（类）支出66.14万元，占</w:t>
      </w:r>
      <w:r>
        <w:rPr>
          <w:rFonts w:hint="eastAsia" w:ascii="Times New Roman" w:hAnsi="Times New Roman" w:eastAsia="方正仿宋简体" w:cs="Times New Roman"/>
          <w:color w:val="000000"/>
          <w:kern w:val="2"/>
          <w:sz w:val="32"/>
          <w:szCs w:val="32"/>
          <w:lang w:val="en-US" w:eastAsia="zh-CN" w:bidi="ar-SA"/>
        </w:rPr>
        <w:t>9</w:t>
      </w:r>
      <w:r>
        <w:rPr>
          <w:rFonts w:hint="eastAsia" w:ascii="Times New Roman" w:hAnsi="Times New Roman" w:eastAsia="方正仿宋简体" w:cs="Times New Roman"/>
          <w:color w:val="000000"/>
          <w:kern w:val="2"/>
          <w:sz w:val="32"/>
          <w:szCs w:val="32"/>
          <w:lang w:val="en" w:eastAsia="zh-CN" w:bidi="ar-SA"/>
        </w:rPr>
        <w:t>%；医疗卫生支出</w:t>
      </w:r>
      <w:r>
        <w:rPr>
          <w:rFonts w:hint="eastAsia" w:ascii="Times New Roman" w:hAnsi="Times New Roman" w:eastAsia="方正仿宋简体" w:cs="Times New Roman"/>
          <w:color w:val="000000"/>
          <w:kern w:val="2"/>
          <w:sz w:val="32"/>
          <w:szCs w:val="32"/>
          <w:lang w:val="en-US" w:eastAsia="zh-CN" w:bidi="ar-SA"/>
        </w:rPr>
        <w:t>22.7</w:t>
      </w:r>
      <w:r>
        <w:rPr>
          <w:rFonts w:hint="eastAsia" w:ascii="Times New Roman" w:hAnsi="Times New Roman" w:eastAsia="方正仿宋简体" w:cs="Times New Roman"/>
          <w:color w:val="000000"/>
          <w:kern w:val="2"/>
          <w:sz w:val="32"/>
          <w:szCs w:val="32"/>
          <w:lang w:val="en" w:eastAsia="zh-CN" w:bidi="ar-SA"/>
        </w:rPr>
        <w:t>万元，占</w:t>
      </w:r>
      <w:r>
        <w:rPr>
          <w:rFonts w:hint="eastAsia" w:ascii="Times New Roman" w:hAnsi="Times New Roman" w:eastAsia="方正仿宋简体" w:cs="Times New Roman"/>
          <w:color w:val="000000"/>
          <w:kern w:val="2"/>
          <w:sz w:val="32"/>
          <w:szCs w:val="32"/>
          <w:lang w:val="en-US" w:eastAsia="zh-CN" w:bidi="ar-SA"/>
        </w:rPr>
        <w:t>3</w:t>
      </w:r>
      <w:r>
        <w:rPr>
          <w:rFonts w:hint="eastAsia" w:ascii="Times New Roman" w:hAnsi="Times New Roman" w:eastAsia="方正仿宋简体" w:cs="Times New Roman"/>
          <w:color w:val="000000"/>
          <w:kern w:val="2"/>
          <w:sz w:val="32"/>
          <w:szCs w:val="32"/>
          <w:lang w:val="en" w:eastAsia="zh-CN" w:bidi="ar-SA"/>
        </w:rPr>
        <w:t>%；住房保障支出47.2万元，占</w:t>
      </w:r>
      <w:r>
        <w:rPr>
          <w:rFonts w:hint="eastAsia" w:ascii="Times New Roman" w:hAnsi="Times New Roman" w:eastAsia="方正仿宋简体" w:cs="Times New Roman"/>
          <w:color w:val="000000"/>
          <w:kern w:val="2"/>
          <w:sz w:val="32"/>
          <w:szCs w:val="32"/>
          <w:lang w:val="en-US" w:eastAsia="zh-CN" w:bidi="ar-SA"/>
        </w:rPr>
        <w:t>6</w:t>
      </w:r>
      <w:r>
        <w:rPr>
          <w:rFonts w:hint="eastAsia" w:ascii="Times New Roman" w:hAnsi="Times New Roman" w:eastAsia="方正仿宋简体" w:cs="Times New Roman"/>
          <w:color w:val="000000"/>
          <w:kern w:val="2"/>
          <w:sz w:val="32"/>
          <w:szCs w:val="32"/>
          <w:lang w:val="en" w:eastAsia="zh-CN" w:bidi="ar-SA"/>
        </w:rPr>
        <w:t xml:space="preserve">%； </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hint="eastAsia" w:ascii="Times New Roman" w:hAnsi="Times New Roman" w:eastAsia="方正仿宋简体" w:cs="Times New Roman"/>
          <w:color w:val="000000"/>
          <w:kern w:val="2"/>
          <w:sz w:val="32"/>
          <w:szCs w:val="32"/>
          <w:lang w:val="en" w:eastAsia="zh-CN" w:bidi="ar-SA"/>
        </w:rPr>
      </w:pPr>
      <w:r>
        <w:rPr>
          <w:rFonts w:hint="eastAsia" w:ascii="Times New Roman" w:hAnsi="Times New Roman" w:eastAsia="方正仿宋简体" w:cs="Times New Roman"/>
          <w:color w:val="000000"/>
          <w:kern w:val="2"/>
          <w:sz w:val="32"/>
          <w:szCs w:val="32"/>
          <w:lang w:val="en" w:eastAsia="zh-CN" w:bidi="ar-SA"/>
        </w:rPr>
        <w:t>根据预算绩效管理要求，八庙镇中心小学以“部门职责—工作活动”为依据，确定部门预算项目和预算额度，清晰描述预算项目开支范围和内容，确定预算项目的绩效目标、绩效指标和评价标准，为预算绩效控制、绩效分析、绩效评价打下好的基础。</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hint="eastAsia" w:ascii="Times New Roman" w:hAnsi="Times New Roman" w:eastAsia="方正仿宋简体" w:cs="Times New Roman"/>
          <w:color w:val="000000"/>
          <w:kern w:val="2"/>
          <w:sz w:val="32"/>
          <w:szCs w:val="32"/>
          <w:lang w:val="en" w:eastAsia="zh-CN" w:bidi="ar-SA"/>
        </w:rPr>
      </w:pPr>
      <w:r>
        <w:rPr>
          <w:rFonts w:hint="eastAsia" w:ascii="Times New Roman" w:hAnsi="Times New Roman" w:eastAsia="方正仿宋简体" w:cs="Times New Roman"/>
          <w:color w:val="000000"/>
          <w:kern w:val="2"/>
          <w:sz w:val="32"/>
          <w:szCs w:val="32"/>
          <w:lang w:val="en" w:eastAsia="zh-CN" w:bidi="ar-SA"/>
        </w:rPr>
        <w:t>1、按规定要求履行了立项手续，可行性研究报告、概算批复文件、专家论证等相关附件资料齐全，项目预算资金科学合理。2、财政资金拨付到位及时。3、已建立项目管理制度并按照项目管理制度要求执行。4、按期保质保量完成建设。</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hint="eastAsia" w:ascii="Times New Roman" w:hAnsi="Times New Roman" w:eastAsia="方正仿宋简体" w:cs="Times New Roman"/>
          <w:color w:val="000000"/>
          <w:kern w:val="2"/>
          <w:sz w:val="32"/>
          <w:szCs w:val="32"/>
          <w:lang w:val="en" w:eastAsia="zh-CN" w:bidi="ar-SA"/>
        </w:rPr>
      </w:pPr>
      <w:r>
        <w:rPr>
          <w:rFonts w:hint="eastAsia" w:ascii="Times New Roman" w:hAnsi="Times New Roman" w:eastAsia="方正仿宋简体" w:cs="Times New Roman"/>
          <w:color w:val="000000"/>
          <w:kern w:val="2"/>
          <w:sz w:val="32"/>
          <w:szCs w:val="32"/>
          <w:lang w:val="en" w:eastAsia="zh-CN" w:bidi="ar-SA"/>
        </w:rPr>
        <w:t>通过绩效评价，我们认为，2020年度部门预算具有明确的用途和目标，制定了详细的执行计划，资金到位及时并严格按照财政有关规定使用。预算决策、</w:t>
      </w:r>
      <w:bookmarkStart w:id="75" w:name="_GoBack"/>
      <w:bookmarkEnd w:id="75"/>
      <w:r>
        <w:rPr>
          <w:rFonts w:hint="eastAsia" w:ascii="Times New Roman" w:hAnsi="Times New Roman" w:eastAsia="方正仿宋简体" w:cs="Times New Roman"/>
          <w:color w:val="000000"/>
          <w:kern w:val="2"/>
          <w:sz w:val="32"/>
          <w:szCs w:val="32"/>
          <w:lang w:val="en" w:eastAsia="zh-CN" w:bidi="ar-SA"/>
        </w:rPr>
        <w:t>管理、执行等日益规范，能较好地满足工作需要，取得了良好经济效益和社会效益</w:t>
      </w:r>
    </w:p>
    <w:tbl>
      <w:tblPr>
        <w:tblW w:w="0" w:type="auto"/>
        <w:tblInd w:w="0" w:type="dxa"/>
        <w:shd w:val="clear"/>
        <w:tblLayout w:type="autofit"/>
        <w:tblCellMar>
          <w:top w:w="0" w:type="dxa"/>
          <w:left w:w="0" w:type="dxa"/>
          <w:bottom w:w="0" w:type="dxa"/>
          <w:right w:w="0" w:type="dxa"/>
        </w:tblCellMar>
      </w:tblPr>
      <w:tblGrid>
        <w:gridCol w:w="703"/>
        <w:gridCol w:w="165"/>
        <w:gridCol w:w="2155"/>
        <w:gridCol w:w="118"/>
        <w:gridCol w:w="598"/>
        <w:gridCol w:w="291"/>
        <w:gridCol w:w="825"/>
        <w:gridCol w:w="825"/>
        <w:gridCol w:w="675"/>
        <w:gridCol w:w="1097"/>
        <w:gridCol w:w="884"/>
      </w:tblGrid>
      <w:tr>
        <w:tblPrEx>
          <w:shd w:val="clear"/>
          <w:tblCellMar>
            <w:top w:w="0" w:type="dxa"/>
            <w:left w:w="0" w:type="dxa"/>
            <w:bottom w:w="0" w:type="dxa"/>
            <w:right w:w="0" w:type="dxa"/>
          </w:tblCellMar>
        </w:tblPrEx>
        <w:trPr>
          <w:trHeight w:val="540" w:hRule="atLeast"/>
        </w:trPr>
        <w:tc>
          <w:tcPr>
            <w:tcW w:w="0" w:type="auto"/>
            <w:gridSpan w:val="11"/>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bdr w:val="none" w:color="auto" w:sz="0" w:space="0"/>
                <w:lang w:val="en-US" w:eastAsia="zh-CN" w:bidi="ar"/>
              </w:rPr>
              <w:t>2020年部门预算整体支出绩效目标批复表</w:t>
            </w:r>
          </w:p>
        </w:tc>
      </w:tr>
      <w:tr>
        <w:tblPrEx>
          <w:tblCellMar>
            <w:top w:w="0" w:type="dxa"/>
            <w:left w:w="0" w:type="dxa"/>
            <w:bottom w:w="0" w:type="dxa"/>
            <w:right w:w="0" w:type="dxa"/>
          </w:tblCellMar>
        </w:tblPrEx>
        <w:trPr>
          <w:trHeight w:val="390" w:hRule="atLeast"/>
        </w:trPr>
        <w:tc>
          <w:tcPr>
            <w:tcW w:w="0" w:type="auto"/>
            <w:gridSpan w:val="11"/>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（2020年度）</w:t>
            </w:r>
          </w:p>
        </w:tc>
      </w:tr>
      <w:tr>
        <w:tblPrEx>
          <w:tblCellMar>
            <w:top w:w="0" w:type="dxa"/>
            <w:left w:w="0" w:type="dxa"/>
            <w:bottom w:w="0" w:type="dxa"/>
            <w:right w:w="0" w:type="dxa"/>
          </w:tblCellMar>
        </w:tblPrEx>
        <w:trPr>
          <w:trHeight w:val="345"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填报单位：</w:t>
            </w:r>
          </w:p>
        </w:tc>
        <w:tc>
          <w:tcPr>
            <w:tcW w:w="0" w:type="auto"/>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开江县八庙镇中心小学</w:t>
            </w:r>
          </w:p>
        </w:tc>
        <w:tc>
          <w:tcPr>
            <w:tcW w:w="0" w:type="auto"/>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gridSpan w:val="2"/>
            <w:tcBorders>
              <w:top w:val="nil"/>
              <w:left w:val="nil"/>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单位：万元</w:t>
            </w:r>
          </w:p>
        </w:tc>
      </w:tr>
      <w:tr>
        <w:tblPrEx>
          <w:tblCellMar>
            <w:top w:w="0" w:type="dxa"/>
            <w:left w:w="0" w:type="dxa"/>
            <w:bottom w:w="0" w:type="dxa"/>
            <w:right w:w="0" w:type="dxa"/>
          </w:tblCellMar>
        </w:tblPrEx>
        <w:trPr>
          <w:trHeight w:val="37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部门基本信息</w:t>
            </w:r>
          </w:p>
        </w:tc>
        <w:tc>
          <w:tcPr>
            <w:tcW w:w="0" w:type="auto"/>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部门名称</w:t>
            </w:r>
          </w:p>
        </w:tc>
        <w:tc>
          <w:tcPr>
            <w:tcW w:w="0" w:type="auto"/>
            <w:gridSpan w:val="8"/>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开江县八庙镇中心小学</w:t>
            </w:r>
          </w:p>
        </w:tc>
      </w:tr>
      <w:tr>
        <w:tblPrEx>
          <w:tblCellMar>
            <w:top w:w="0" w:type="dxa"/>
            <w:left w:w="0" w:type="dxa"/>
            <w:bottom w:w="0" w:type="dxa"/>
            <w:right w:w="0" w:type="dxa"/>
          </w:tblCellMar>
        </w:tblPrEx>
        <w:trPr>
          <w:trHeight w:val="4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人员编制数：52</w:t>
            </w:r>
          </w:p>
        </w:tc>
        <w:tc>
          <w:tcPr>
            <w:tcW w:w="0" w:type="auto"/>
            <w:gridSpan w:val="5"/>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单位实有人数：56</w:t>
            </w:r>
          </w:p>
        </w:tc>
      </w:tr>
      <w:tr>
        <w:tblPrEx>
          <w:tblCellMar>
            <w:top w:w="0" w:type="dxa"/>
            <w:left w:w="0" w:type="dxa"/>
            <w:bottom w:w="0" w:type="dxa"/>
            <w:right w:w="0"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年度工作任务</w:t>
            </w:r>
          </w:p>
        </w:tc>
        <w:tc>
          <w:tcPr>
            <w:tcW w:w="0" w:type="auto"/>
            <w:gridSpan w:val="9"/>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1、贯彻执行党和国家教育方针政策，促进教育事业发展。</w:t>
            </w:r>
          </w:p>
        </w:tc>
      </w:tr>
      <w:tr>
        <w:tblPrEx>
          <w:tblCellMar>
            <w:top w:w="0" w:type="dxa"/>
            <w:left w:w="0" w:type="dxa"/>
            <w:bottom w:w="0" w:type="dxa"/>
            <w:right w:w="0"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gridSpan w:val="9"/>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2、确保教职工的工资、遗属的生活补助、临时工工资按时足额发放。</w:t>
            </w:r>
          </w:p>
        </w:tc>
      </w:tr>
      <w:tr>
        <w:tblPrEx>
          <w:tblCellMar>
            <w:top w:w="0" w:type="dxa"/>
            <w:left w:w="0" w:type="dxa"/>
            <w:bottom w:w="0" w:type="dxa"/>
            <w:right w:w="0"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gridSpan w:val="9"/>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3、确保学校正常运转，不断提升学校的教育教学质量和社会知名度。</w:t>
            </w:r>
          </w:p>
        </w:tc>
      </w:tr>
      <w:tr>
        <w:tblPrEx>
          <w:tblCellMar>
            <w:top w:w="0" w:type="dxa"/>
            <w:left w:w="0" w:type="dxa"/>
            <w:bottom w:w="0" w:type="dxa"/>
            <w:right w:w="0"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gridSpan w:val="9"/>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4、保障本辖区适龄儿童受教育的权利，对贫困学生做好资助工作，做好扶贫工作。</w:t>
            </w:r>
          </w:p>
        </w:tc>
      </w:tr>
      <w:tr>
        <w:tblPrEx>
          <w:tblCellMar>
            <w:top w:w="0" w:type="dxa"/>
            <w:left w:w="0" w:type="dxa"/>
            <w:bottom w:w="0" w:type="dxa"/>
            <w:right w:w="0"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gridSpan w:val="9"/>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5、加强师资队伍建设，负责本校教师人事管理、继续教育、考核考评等工作。</w:t>
            </w:r>
          </w:p>
        </w:tc>
      </w:tr>
      <w:tr>
        <w:tblPrEx>
          <w:tblCellMar>
            <w:top w:w="0" w:type="dxa"/>
            <w:left w:w="0" w:type="dxa"/>
            <w:bottom w:w="0" w:type="dxa"/>
            <w:right w:w="0"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gridSpan w:val="9"/>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FF0000"/>
                <w:sz w:val="22"/>
                <w:szCs w:val="22"/>
                <w:u w:val="none"/>
              </w:rPr>
            </w:pPr>
          </w:p>
        </w:tc>
      </w:tr>
      <w:tr>
        <w:tblPrEx>
          <w:tblCellMar>
            <w:top w:w="0" w:type="dxa"/>
            <w:left w:w="0" w:type="dxa"/>
            <w:bottom w:w="0" w:type="dxa"/>
            <w:right w:w="0"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部门预算情况</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收入预算合计：</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605.53</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支出预算合计：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605.53</w:t>
            </w:r>
          </w:p>
        </w:tc>
        <w:tc>
          <w:tcPr>
            <w:tcW w:w="0" w:type="auto"/>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近两年支出预算金额</w:t>
            </w:r>
          </w:p>
        </w:tc>
      </w:tr>
      <w:tr>
        <w:tblPrEx>
          <w:tblCellMar>
            <w:top w:w="0" w:type="dxa"/>
            <w:left w:w="0" w:type="dxa"/>
            <w:bottom w:w="0" w:type="dxa"/>
            <w:right w:w="0"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2018 </w:t>
            </w:r>
            <w:r>
              <w:rPr>
                <w:rStyle w:val="30"/>
                <w:bdr w:val="none" w:color="auto" w:sz="0" w:space="0"/>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2019 </w:t>
            </w:r>
            <w:r>
              <w:rPr>
                <w:rStyle w:val="30"/>
                <w:bdr w:val="none" w:color="auto" w:sz="0" w:space="0"/>
                <w:lang w:val="en-US" w:eastAsia="zh-CN" w:bidi="ar"/>
              </w:rPr>
              <w:t>年</w:t>
            </w:r>
          </w:p>
        </w:tc>
      </w:tr>
      <w:tr>
        <w:tblPrEx>
          <w:tblCellMar>
            <w:top w:w="0" w:type="dxa"/>
            <w:left w:w="0" w:type="dxa"/>
            <w:bottom w:w="0" w:type="dxa"/>
            <w:right w:w="0" w:type="dxa"/>
          </w:tblCellMar>
        </w:tblPrEx>
        <w:trPr>
          <w:trHeight w:val="5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（一）一般公共预算</w:t>
            </w:r>
          </w:p>
        </w:tc>
        <w:tc>
          <w:tcPr>
            <w:tcW w:w="0" w:type="auto"/>
            <w:gridSpan w:val="2"/>
            <w:tcBorders>
              <w:top w:val="single" w:color="000000" w:sz="4" w:space="0"/>
              <w:left w:val="single" w:color="000000" w:sz="4" w:space="0"/>
              <w:bottom w:val="nil"/>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605.53</w:t>
            </w:r>
          </w:p>
        </w:tc>
        <w:tc>
          <w:tcPr>
            <w:tcW w:w="0" w:type="auto"/>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（一）基本支出</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605.53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561.1344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498.748</w:t>
            </w:r>
          </w:p>
        </w:tc>
      </w:tr>
      <w:tr>
        <w:tblPrEx>
          <w:tblCellMar>
            <w:top w:w="0" w:type="dxa"/>
            <w:left w:w="0" w:type="dxa"/>
            <w:bottom w:w="0" w:type="dxa"/>
            <w:right w:w="0" w:type="dxa"/>
          </w:tblCellMar>
        </w:tblPrEx>
        <w:trPr>
          <w:trHeight w:val="61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（二）政府基金预算</w:t>
            </w:r>
          </w:p>
        </w:tc>
        <w:tc>
          <w:tcPr>
            <w:tcW w:w="0" w:type="auto"/>
            <w:gridSpan w:val="2"/>
            <w:tcBorders>
              <w:top w:val="single" w:color="000000" w:sz="4" w:space="0"/>
              <w:left w:val="single" w:color="000000" w:sz="4" w:space="0"/>
              <w:bottom w:val="nil"/>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其中：三公经费支出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0.98</w:t>
            </w:r>
          </w:p>
        </w:tc>
      </w:tr>
      <w:tr>
        <w:tblPrEx>
          <w:tblCellMar>
            <w:top w:w="0" w:type="dxa"/>
            <w:left w:w="0" w:type="dxa"/>
            <w:bottom w:w="0" w:type="dxa"/>
            <w:right w:w="0" w:type="dxa"/>
          </w:tblCellMar>
        </w:tblPrEx>
        <w:trPr>
          <w:trHeight w:val="61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（三）上年结转</w:t>
            </w:r>
          </w:p>
        </w:tc>
        <w:tc>
          <w:tcPr>
            <w:tcW w:w="0" w:type="auto"/>
            <w:gridSpan w:val="2"/>
            <w:tcBorders>
              <w:top w:val="single" w:color="000000" w:sz="4" w:space="0"/>
              <w:left w:val="single" w:color="000000" w:sz="4" w:space="0"/>
              <w:bottom w:val="nil"/>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（二）项目支出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1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（四）其他资金</w:t>
            </w:r>
          </w:p>
        </w:tc>
        <w:tc>
          <w:tcPr>
            <w:tcW w:w="0" w:type="auto"/>
            <w:gridSpan w:val="2"/>
            <w:tcBorders>
              <w:top w:val="single" w:color="000000" w:sz="4" w:space="0"/>
              <w:left w:val="single" w:color="000000" w:sz="4" w:space="0"/>
              <w:bottom w:val="nil"/>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nil"/>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nil"/>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nil"/>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nil"/>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nil"/>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年度总体目标</w:t>
            </w:r>
          </w:p>
        </w:tc>
        <w:tc>
          <w:tcPr>
            <w:tcW w:w="0" w:type="auto"/>
            <w:gridSpan w:val="10"/>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2020年度，根据上级的部署和学校的工作目标，经学校行政会研究讨论，报教代会审核通过：本年度确保教职工的工资、遗属的生活补助、临时工工资按时足额发放；确保学校正常运转，全面提升学校的教育教学质量，努力办好人民满意教育。关心关爱贫困学生，做好贫困学生资助工作。抓好党建扶贫工作。对教育教学设施设备进行维修维护，保证设备的完好率达100％。加强校园文化建设：进一步完成学校的文化宣传整体布局，加大学校的办学理念、目标的宣传，形成具有宝塔小学特色的校园文化氛围。办好学校，让社会、家长、师生满意，整体满意度达到98％以上。</w:t>
            </w:r>
          </w:p>
        </w:tc>
      </w:tr>
      <w:tr>
        <w:tblPrEx>
          <w:shd w:val="clear"/>
          <w:tblCellMar>
            <w:top w:w="0" w:type="dxa"/>
            <w:left w:w="0" w:type="dxa"/>
            <w:bottom w:w="0" w:type="dxa"/>
            <w:right w:w="0"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10"/>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10"/>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10"/>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10"/>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10"/>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10"/>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绩效指标</w:t>
            </w:r>
          </w:p>
        </w:tc>
        <w:tc>
          <w:tcPr>
            <w:tcW w:w="0" w:type="auto"/>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二级指标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三级指标名称</w:t>
            </w:r>
          </w:p>
        </w:tc>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指标值</w:t>
            </w:r>
          </w:p>
        </w:tc>
      </w:tr>
      <w:tr>
        <w:tblPrEx>
          <w:tblCellMar>
            <w:top w:w="0" w:type="dxa"/>
            <w:left w:w="0" w:type="dxa"/>
            <w:bottom w:w="0" w:type="dxa"/>
            <w:right w:w="0"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完成指标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做好扶贫工作，关爱留守儿童，资助贫困生</w:t>
            </w:r>
          </w:p>
        </w:tc>
        <w:tc>
          <w:tcPr>
            <w:tcW w:w="0" w:type="auto"/>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240人次，每人次预计40元</w:t>
            </w:r>
          </w:p>
        </w:tc>
      </w:tr>
      <w:tr>
        <w:tblPrEx>
          <w:tblCellMar>
            <w:top w:w="0" w:type="dxa"/>
            <w:left w:w="0" w:type="dxa"/>
            <w:bottom w:w="0" w:type="dxa"/>
            <w:right w:w="0" w:type="dxa"/>
          </w:tblCellMar>
        </w:tblPrEx>
        <w:trPr>
          <w:trHeight w:val="5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确保900名学生活动场地及教学设施设备完好</w:t>
            </w:r>
          </w:p>
        </w:tc>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r>
      <w:tr>
        <w:tblPrEx>
          <w:tblCellMar>
            <w:top w:w="0" w:type="dxa"/>
            <w:left w:w="0" w:type="dxa"/>
            <w:bottom w:w="0" w:type="dxa"/>
            <w:right w:w="0" w:type="dxa"/>
          </w:tblCellMar>
        </w:tblPrEx>
        <w:trPr>
          <w:trHeight w:val="5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确保教师参加培训，提升教育教学能力</w:t>
            </w:r>
          </w:p>
        </w:tc>
        <w:tc>
          <w:tcPr>
            <w:tcW w:w="0" w:type="auto"/>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培训135人次，培训经费预计2.5万元</w:t>
            </w: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质量指标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学生入学率、设备完好率</w:t>
            </w:r>
          </w:p>
        </w:tc>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教师培训合格率</w:t>
            </w:r>
          </w:p>
        </w:tc>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时效指标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目标任务完成</w:t>
            </w:r>
          </w:p>
        </w:tc>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2020年12月中旬</w:t>
            </w: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教师培训工作</w:t>
            </w:r>
          </w:p>
        </w:tc>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2020年12月前</w:t>
            </w: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r>
      <w:tr>
        <w:tblPrEx>
          <w:tblCellMar>
            <w:top w:w="0" w:type="dxa"/>
            <w:left w:w="0" w:type="dxa"/>
            <w:bottom w:w="0" w:type="dxa"/>
            <w:right w:w="0" w:type="dxa"/>
          </w:tblCellMar>
        </w:tblPrEx>
        <w:trPr>
          <w:trHeight w:val="9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成本指标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确保人员经费按时足额发放</w:t>
            </w:r>
          </w:p>
        </w:tc>
        <w:tc>
          <w:tcPr>
            <w:tcW w:w="0" w:type="auto"/>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本年度安排56名教职工的工资551.53万元。</w:t>
            </w:r>
          </w:p>
        </w:tc>
      </w:tr>
      <w:tr>
        <w:tblPrEx>
          <w:tblCellMar>
            <w:top w:w="0" w:type="dxa"/>
            <w:left w:w="0" w:type="dxa"/>
            <w:bottom w:w="0" w:type="dxa"/>
            <w:right w:w="0"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公用经费确保学校工作正常开展</w:t>
            </w:r>
          </w:p>
        </w:tc>
        <w:tc>
          <w:tcPr>
            <w:tcW w:w="0" w:type="auto"/>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本年度安排日常公用支出54万元。</w:t>
            </w: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三公经费在上年基础上有所下降</w:t>
            </w:r>
          </w:p>
        </w:tc>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w:t>
            </w: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r>
      <w:tr>
        <w:tblPrEx>
          <w:tblCellMar>
            <w:top w:w="0" w:type="dxa"/>
            <w:left w:w="0" w:type="dxa"/>
            <w:bottom w:w="0" w:type="dxa"/>
            <w:right w:w="0" w:type="dxa"/>
          </w:tblCellMar>
        </w:tblPrEx>
        <w:trPr>
          <w:trHeight w:val="5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经济效益</w:t>
            </w:r>
          </w:p>
        </w:tc>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办高质量学校</w:t>
            </w:r>
          </w:p>
        </w:tc>
        <w:tc>
          <w:tcPr>
            <w:tcW w:w="0" w:type="auto"/>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方便学生就近读书</w:t>
            </w:r>
          </w:p>
        </w:tc>
      </w:tr>
      <w:tr>
        <w:tblPrEx>
          <w:tblCellMar>
            <w:top w:w="0" w:type="dxa"/>
            <w:left w:w="0" w:type="dxa"/>
            <w:bottom w:w="0" w:type="dxa"/>
            <w:right w:w="0" w:type="dxa"/>
          </w:tblCellMar>
        </w:tblPrEx>
        <w:trPr>
          <w:trHeight w:val="5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社会效益</w:t>
            </w:r>
          </w:p>
        </w:tc>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稳定教师队伍，提升教育质量</w:t>
            </w:r>
          </w:p>
        </w:tc>
        <w:tc>
          <w:tcPr>
            <w:tcW w:w="0" w:type="auto"/>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促进义务教育均衡发展，全面提升教育教学质量。</w:t>
            </w:r>
          </w:p>
        </w:tc>
      </w:tr>
      <w:tr>
        <w:tblPrEx>
          <w:tblCellMar>
            <w:top w:w="0" w:type="dxa"/>
            <w:left w:w="0" w:type="dxa"/>
            <w:bottom w:w="0" w:type="dxa"/>
            <w:right w:w="0"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生态效益</w:t>
            </w:r>
          </w:p>
        </w:tc>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可持续影响</w:t>
            </w:r>
          </w:p>
        </w:tc>
        <w:tc>
          <w:tcPr>
            <w:tcW w:w="0" w:type="auto"/>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保障教师队伍建设，教师培训、继续教育全覆盖。</w:t>
            </w:r>
          </w:p>
        </w:tc>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提高学校的影响力和知名度</w:t>
            </w: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满意度指标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学生满意度</w:t>
            </w:r>
          </w:p>
        </w:tc>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学生满意度98%</w:t>
            </w: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群众满意度</w:t>
            </w:r>
          </w:p>
        </w:tc>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群众满意度95%</w:t>
            </w:r>
          </w:p>
        </w:tc>
      </w:tr>
    </w:tbl>
    <w:p>
      <w:pPr>
        <w:spacing w:line="580" w:lineRule="exact"/>
        <w:ind w:firstLine="640" w:firstLineChars="200"/>
        <w:rPr>
          <w:rFonts w:hint="eastAsia" w:ascii="Times New Roman" w:hAnsi="Times New Roman" w:eastAsia="方正仿宋简体" w:cs="Times New Roman"/>
          <w:color w:val="000000"/>
          <w:kern w:val="2"/>
          <w:sz w:val="32"/>
          <w:szCs w:val="32"/>
          <w:lang w:val="en" w:eastAsia="zh-CN" w:bidi="ar-SA"/>
        </w:rPr>
      </w:pP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hint="eastAsia" w:ascii="Times New Roman" w:hAnsi="Times New Roman" w:eastAsia="方正仿宋简体" w:cs="Times New Roman"/>
          <w:color w:val="000000"/>
          <w:kern w:val="2"/>
          <w:sz w:val="32"/>
          <w:szCs w:val="32"/>
          <w:lang w:val="en" w:eastAsia="zh-CN" w:bidi="ar-SA"/>
        </w:rPr>
      </w:pPr>
      <w:r>
        <w:rPr>
          <w:rFonts w:hint="eastAsia" w:ascii="Times New Roman" w:hAnsi="Times New Roman" w:eastAsia="方正仿宋简体" w:cs="Times New Roman"/>
          <w:color w:val="000000"/>
          <w:kern w:val="2"/>
          <w:sz w:val="32"/>
          <w:szCs w:val="32"/>
          <w:lang w:val="en" w:eastAsia="zh-CN" w:bidi="ar-SA"/>
        </w:rPr>
        <w:t>1、学校的固定资产管理还有待加强，下年度将按照标准逐步完善。</w:t>
      </w:r>
    </w:p>
    <w:p>
      <w:pPr>
        <w:spacing w:line="580" w:lineRule="exact"/>
        <w:ind w:firstLine="640" w:firstLineChars="200"/>
        <w:rPr>
          <w:rFonts w:hint="eastAsia" w:ascii="Times New Roman" w:hAnsi="Times New Roman" w:eastAsia="方正仿宋简体" w:cs="Times New Roman"/>
          <w:color w:val="000000"/>
          <w:kern w:val="2"/>
          <w:sz w:val="32"/>
          <w:szCs w:val="32"/>
          <w:lang w:val="en" w:eastAsia="zh-CN" w:bidi="ar-SA"/>
        </w:rPr>
      </w:pPr>
      <w:r>
        <w:rPr>
          <w:rFonts w:hint="eastAsia" w:ascii="Times New Roman" w:hAnsi="Times New Roman" w:eastAsia="方正仿宋简体" w:cs="Times New Roman"/>
          <w:color w:val="000000"/>
          <w:kern w:val="2"/>
          <w:sz w:val="32"/>
          <w:szCs w:val="32"/>
          <w:lang w:val="en" w:eastAsia="zh-CN" w:bidi="ar-SA"/>
        </w:rPr>
        <w:t>2、更加科学合理的编制预算。本年度预算完成率分值被扣4分，下一会计年度努力学习预算制度，更加合理地编制预算，使预算、决算差异更小。</w:t>
      </w:r>
    </w:p>
    <w:p>
      <w:pPr>
        <w:spacing w:line="580" w:lineRule="exact"/>
        <w:ind w:firstLine="640" w:firstLineChars="200"/>
        <w:rPr>
          <w:rFonts w:hint="eastAsia" w:ascii="Times New Roman" w:hAnsi="Times New Roman" w:eastAsia="方正仿宋简体" w:cs="Times New Roman"/>
          <w:color w:val="000000"/>
          <w:kern w:val="2"/>
          <w:sz w:val="32"/>
          <w:szCs w:val="32"/>
          <w:lang w:val="en" w:eastAsia="zh-CN" w:bidi="ar-SA"/>
        </w:rPr>
      </w:pPr>
      <w:r>
        <w:rPr>
          <w:rFonts w:hint="eastAsia" w:ascii="Times New Roman" w:hAnsi="Times New Roman" w:eastAsia="方正仿宋简体" w:cs="Times New Roman"/>
          <w:color w:val="000000"/>
          <w:kern w:val="2"/>
          <w:sz w:val="32"/>
          <w:szCs w:val="32"/>
          <w:lang w:val="en" w:eastAsia="zh-CN" w:bidi="ar-SA"/>
        </w:rPr>
        <w:t>3、部分绩效指标及目标值有待进一步细化和量化。  </w:t>
      </w:r>
    </w:p>
    <w:p>
      <w:pPr>
        <w:spacing w:line="580" w:lineRule="exact"/>
        <w:ind w:firstLine="640" w:firstLineChars="200"/>
        <w:rPr>
          <w:rFonts w:hint="eastAsia" w:ascii="Times New Roman" w:hAnsi="Times New Roman" w:eastAsia="方正仿宋简体" w:cs="Times New Roman"/>
          <w:color w:val="000000"/>
          <w:kern w:val="2"/>
          <w:sz w:val="32"/>
          <w:szCs w:val="32"/>
          <w:lang w:val="en" w:eastAsia="zh-CN" w:bidi="ar-SA"/>
        </w:rPr>
      </w:pPr>
      <w:r>
        <w:rPr>
          <w:rFonts w:hint="eastAsia" w:ascii="Times New Roman" w:hAnsi="Times New Roman" w:eastAsia="方正仿宋简体" w:cs="Times New Roman"/>
          <w:color w:val="000000"/>
          <w:kern w:val="2"/>
          <w:sz w:val="32"/>
          <w:szCs w:val="32"/>
          <w:lang w:val="en" w:eastAsia="zh-CN" w:bidi="ar-SA"/>
        </w:rPr>
        <w:t>4、部门整体预算执行率未达到95%，预算执行有待提升。 </w:t>
      </w:r>
    </w:p>
    <w:p>
      <w:pPr>
        <w:spacing w:line="580" w:lineRule="exact"/>
        <w:ind w:firstLine="640" w:firstLineChars="200"/>
        <w:rPr>
          <w:rFonts w:hint="eastAsia" w:ascii="Times New Roman" w:hAnsi="Times New Roman" w:eastAsia="方正仿宋简体" w:cs="Times New Roman"/>
          <w:color w:val="000000"/>
          <w:kern w:val="2"/>
          <w:sz w:val="32"/>
          <w:szCs w:val="32"/>
          <w:lang w:val="en" w:eastAsia="zh-CN" w:bidi="ar-SA"/>
        </w:rPr>
      </w:pPr>
      <w:r>
        <w:rPr>
          <w:rFonts w:hint="eastAsia" w:ascii="Times New Roman" w:hAnsi="Times New Roman" w:eastAsia="方正仿宋简体" w:cs="Times New Roman"/>
          <w:color w:val="000000"/>
          <w:kern w:val="2"/>
          <w:sz w:val="32"/>
          <w:szCs w:val="32"/>
          <w:lang w:val="en" w:eastAsia="zh-CN" w:bidi="ar-SA"/>
        </w:rPr>
        <w:t>5、尚未针对绩效考评制定比较明确的实施细则，有待进</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600" w:lineRule="exact"/>
        <w:jc w:val="center"/>
        <w:outlineLvl w:val="0"/>
        <w:rPr>
          <w:rStyle w:val="24"/>
          <w:rFonts w:ascii="黑体" w:hAnsi="黑体" w:eastAsia="黑体"/>
          <w:b w:val="0"/>
        </w:rPr>
      </w:pPr>
      <w:bookmarkStart w:id="61"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8"/>
      <w:bookmarkEnd w:id="61"/>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2"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2"/>
    </w:p>
    <w:p>
      <w:pPr>
        <w:pStyle w:val="3"/>
        <w:rPr>
          <w:rFonts w:ascii="仿宋" w:hAnsi="仿宋" w:eastAsia="仿宋"/>
          <w:color w:val="000000"/>
        </w:rPr>
      </w:pPr>
      <w:bookmarkStart w:id="63"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63"/>
    </w:p>
    <w:p>
      <w:pPr>
        <w:pStyle w:val="3"/>
        <w:rPr>
          <w:rFonts w:ascii="仿宋" w:hAnsi="仿宋" w:eastAsia="仿宋"/>
          <w:color w:val="000000"/>
        </w:rPr>
      </w:pPr>
      <w:bookmarkStart w:id="64"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64"/>
    </w:p>
    <w:p>
      <w:pPr>
        <w:pStyle w:val="3"/>
        <w:rPr>
          <w:rFonts w:ascii="仿宋" w:hAnsi="仿宋" w:eastAsia="仿宋"/>
          <w:b w:val="0"/>
          <w:color w:val="000000"/>
        </w:rPr>
      </w:pPr>
      <w:bookmarkStart w:id="65"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5"/>
    </w:p>
    <w:p>
      <w:pPr>
        <w:pStyle w:val="3"/>
        <w:rPr>
          <w:rFonts w:ascii="仿宋" w:hAnsi="仿宋" w:eastAsia="仿宋"/>
          <w:color w:val="000000"/>
        </w:rPr>
      </w:pPr>
      <w:bookmarkStart w:id="66"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6"/>
    </w:p>
    <w:p>
      <w:pPr>
        <w:pStyle w:val="3"/>
        <w:rPr>
          <w:rFonts w:ascii="仿宋" w:hAnsi="仿宋" w:eastAsia="仿宋"/>
          <w:color w:val="000000"/>
        </w:rPr>
      </w:pPr>
      <w:bookmarkStart w:id="67"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7"/>
    </w:p>
    <w:p>
      <w:pPr>
        <w:pStyle w:val="3"/>
        <w:rPr>
          <w:rFonts w:ascii="仿宋" w:hAnsi="仿宋" w:eastAsia="仿宋"/>
          <w:color w:val="000000"/>
        </w:rPr>
      </w:pPr>
      <w:bookmarkStart w:id="68"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8"/>
    </w:p>
    <w:p>
      <w:pPr>
        <w:pStyle w:val="3"/>
        <w:rPr>
          <w:rFonts w:ascii="仿宋" w:hAnsi="仿宋" w:eastAsia="仿宋"/>
          <w:color w:val="000000"/>
        </w:rPr>
      </w:pPr>
      <w:bookmarkStart w:id="69"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9"/>
    </w:p>
    <w:p>
      <w:pPr>
        <w:pStyle w:val="3"/>
        <w:rPr>
          <w:rFonts w:ascii="仿宋" w:hAnsi="仿宋" w:eastAsia="仿宋"/>
          <w:color w:val="000000"/>
        </w:rPr>
      </w:pPr>
      <w:bookmarkStart w:id="70"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70"/>
    </w:p>
    <w:p>
      <w:pPr>
        <w:pStyle w:val="3"/>
        <w:rPr>
          <w:rFonts w:ascii="仿宋" w:hAnsi="仿宋" w:eastAsia="仿宋"/>
          <w:color w:val="000000"/>
        </w:rPr>
      </w:pPr>
      <w:bookmarkStart w:id="71"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71"/>
    </w:p>
    <w:p>
      <w:pPr>
        <w:pStyle w:val="3"/>
        <w:rPr>
          <w:rFonts w:ascii="仿宋" w:hAnsi="仿宋" w:eastAsia="仿宋"/>
          <w:color w:val="000000"/>
        </w:rPr>
      </w:pPr>
      <w:bookmarkStart w:id="72"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2"/>
    </w:p>
    <w:p>
      <w:pPr>
        <w:pStyle w:val="3"/>
        <w:rPr>
          <w:rFonts w:ascii="仿宋" w:hAnsi="仿宋" w:eastAsia="仿宋"/>
          <w:color w:val="000000"/>
        </w:rPr>
      </w:pPr>
      <w:bookmarkStart w:id="73"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3"/>
    </w:p>
    <w:p>
      <w:pPr>
        <w:pStyle w:val="3"/>
        <w:rPr>
          <w:rFonts w:ascii="仿宋" w:hAnsi="仿宋" w:eastAsia="仿宋"/>
          <w:color w:val="000000" w:themeColor="text1"/>
          <w14:textFill>
            <w14:solidFill>
              <w14:schemeClr w14:val="tx1"/>
            </w14:solidFill>
          </w14:textFill>
        </w:rPr>
      </w:pPr>
      <w:bookmarkStart w:id="74"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4"/>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altName w:val="宋体"/>
    <w:panose1 w:val="03000509000000000000"/>
    <w:charset w:val="86"/>
    <w:family w:val="auto"/>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19</w:t>
        </w:r>
        <w: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43A7"/>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65A00"/>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B299A"/>
    <w:rsid w:val="002F1818"/>
    <w:rsid w:val="002F567B"/>
    <w:rsid w:val="003216A9"/>
    <w:rsid w:val="0037013F"/>
    <w:rsid w:val="00380C92"/>
    <w:rsid w:val="00381D83"/>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13736"/>
    <w:rsid w:val="00520DA0"/>
    <w:rsid w:val="005664BB"/>
    <w:rsid w:val="0057481D"/>
    <w:rsid w:val="0058486E"/>
    <w:rsid w:val="005D1C8B"/>
    <w:rsid w:val="005D5CED"/>
    <w:rsid w:val="005F1A4C"/>
    <w:rsid w:val="006038E0"/>
    <w:rsid w:val="00605688"/>
    <w:rsid w:val="006070AF"/>
    <w:rsid w:val="00607E6C"/>
    <w:rsid w:val="006101B1"/>
    <w:rsid w:val="00614E44"/>
    <w:rsid w:val="00622830"/>
    <w:rsid w:val="00630AEF"/>
    <w:rsid w:val="006325F8"/>
    <w:rsid w:val="00634C9A"/>
    <w:rsid w:val="00643D7F"/>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B7DF6"/>
    <w:rsid w:val="007D312A"/>
    <w:rsid w:val="007D3F19"/>
    <w:rsid w:val="007E23B0"/>
    <w:rsid w:val="007E400F"/>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0F73"/>
    <w:rsid w:val="008B768C"/>
    <w:rsid w:val="008C4DB1"/>
    <w:rsid w:val="008C4EAF"/>
    <w:rsid w:val="008C5176"/>
    <w:rsid w:val="008C7FD0"/>
    <w:rsid w:val="008E1DE7"/>
    <w:rsid w:val="008E707C"/>
    <w:rsid w:val="00900B08"/>
    <w:rsid w:val="00902155"/>
    <w:rsid w:val="00902FA3"/>
    <w:rsid w:val="00923564"/>
    <w:rsid w:val="0092392E"/>
    <w:rsid w:val="009315F9"/>
    <w:rsid w:val="00945A44"/>
    <w:rsid w:val="00946945"/>
    <w:rsid w:val="00951248"/>
    <w:rsid w:val="0095152F"/>
    <w:rsid w:val="00954C49"/>
    <w:rsid w:val="0097099F"/>
    <w:rsid w:val="00971997"/>
    <w:rsid w:val="00971FFC"/>
    <w:rsid w:val="00973589"/>
    <w:rsid w:val="0097563A"/>
    <w:rsid w:val="0098660A"/>
    <w:rsid w:val="009931C3"/>
    <w:rsid w:val="009B2C43"/>
    <w:rsid w:val="009B4EAE"/>
    <w:rsid w:val="009B7573"/>
    <w:rsid w:val="009C22F4"/>
    <w:rsid w:val="009C2E98"/>
    <w:rsid w:val="009C614B"/>
    <w:rsid w:val="009D3447"/>
    <w:rsid w:val="009D4711"/>
    <w:rsid w:val="009F1185"/>
    <w:rsid w:val="009F18CD"/>
    <w:rsid w:val="009F2A13"/>
    <w:rsid w:val="00A04EB0"/>
    <w:rsid w:val="00A13CC1"/>
    <w:rsid w:val="00A16847"/>
    <w:rsid w:val="00A237D8"/>
    <w:rsid w:val="00A268C4"/>
    <w:rsid w:val="00A30344"/>
    <w:rsid w:val="00A307CD"/>
    <w:rsid w:val="00A40A00"/>
    <w:rsid w:val="00A4142F"/>
    <w:rsid w:val="00A56DF2"/>
    <w:rsid w:val="00A67AB5"/>
    <w:rsid w:val="00A81558"/>
    <w:rsid w:val="00A91760"/>
    <w:rsid w:val="00A93B00"/>
    <w:rsid w:val="00A93C21"/>
    <w:rsid w:val="00AC3C6A"/>
    <w:rsid w:val="00AD5620"/>
    <w:rsid w:val="00AD7C1B"/>
    <w:rsid w:val="00AE16BA"/>
    <w:rsid w:val="00AE1EBE"/>
    <w:rsid w:val="00B03C9D"/>
    <w:rsid w:val="00B060AE"/>
    <w:rsid w:val="00B10517"/>
    <w:rsid w:val="00B14E76"/>
    <w:rsid w:val="00B16179"/>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37463"/>
    <w:rsid w:val="00C42709"/>
    <w:rsid w:val="00C533CC"/>
    <w:rsid w:val="00C5751C"/>
    <w:rsid w:val="00C61BFC"/>
    <w:rsid w:val="00C62B85"/>
    <w:rsid w:val="00C65438"/>
    <w:rsid w:val="00C91CBB"/>
    <w:rsid w:val="00CC09B6"/>
    <w:rsid w:val="00CC666F"/>
    <w:rsid w:val="00CC741D"/>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0411"/>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646B"/>
    <w:rsid w:val="00EF77C6"/>
    <w:rsid w:val="00F05438"/>
    <w:rsid w:val="00F1361C"/>
    <w:rsid w:val="00F1362B"/>
    <w:rsid w:val="00F160C7"/>
    <w:rsid w:val="00F36D8F"/>
    <w:rsid w:val="00F417B1"/>
    <w:rsid w:val="00F602DF"/>
    <w:rsid w:val="00F81FD9"/>
    <w:rsid w:val="00F841AA"/>
    <w:rsid w:val="00FA23E8"/>
    <w:rsid w:val="00FD3CC1"/>
    <w:rsid w:val="00FF1E02"/>
    <w:rsid w:val="00FF30B4"/>
    <w:rsid w:val="01560FCF"/>
    <w:rsid w:val="04452566"/>
    <w:rsid w:val="10C055FF"/>
    <w:rsid w:val="1161799E"/>
    <w:rsid w:val="16BB723D"/>
    <w:rsid w:val="1A0C1BEE"/>
    <w:rsid w:val="240371BF"/>
    <w:rsid w:val="26FF223F"/>
    <w:rsid w:val="29FD04D3"/>
    <w:rsid w:val="2EB26B5D"/>
    <w:rsid w:val="319F7F4E"/>
    <w:rsid w:val="347B08F8"/>
    <w:rsid w:val="54292525"/>
    <w:rsid w:val="5A2F0766"/>
    <w:rsid w:val="61204CAB"/>
    <w:rsid w:val="6CF41ECD"/>
    <w:rsid w:val="6FD93B9F"/>
    <w:rsid w:val="74C93445"/>
    <w:rsid w:val="786F068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uiPriority w:val="99"/>
    <w:rPr>
      <w:rFonts w:ascii="Times New Roman" w:hAnsi="Times New Roman"/>
      <w:kern w:val="2"/>
      <w:sz w:val="18"/>
      <w:szCs w:val="18"/>
    </w:rPr>
  </w:style>
  <w:style w:type="character" w:customStyle="1" w:styleId="28">
    <w:name w:val="标题 3 Char"/>
    <w:basedOn w:val="13"/>
    <w:link w:val="4"/>
    <w:uiPriority w:val="9"/>
    <w:rPr>
      <w:rFonts w:ascii="Times New Roman" w:hAnsi="Times New Roman"/>
      <w:b/>
      <w:bCs/>
      <w:kern w:val="2"/>
      <w:sz w:val="32"/>
      <w:szCs w:val="32"/>
    </w:rPr>
  </w:style>
  <w:style w:type="character" w:customStyle="1" w:styleId="29">
    <w:name w:val="16"/>
    <w:basedOn w:val="13"/>
    <w:qFormat/>
    <w:uiPriority w:val="0"/>
    <w:rPr>
      <w:rFonts w:hint="default" w:ascii="Times New Roman" w:hAnsi="Times New Roman" w:cs="Times New Roman"/>
      <w:b/>
      <w:bCs/>
      <w:kern w:val="44"/>
      <w:sz w:val="44"/>
      <w:szCs w:val="44"/>
    </w:rPr>
  </w:style>
  <w:style w:type="character" w:customStyle="1" w:styleId="30">
    <w:name w:val="font11"/>
    <w:basedOn w:val="13"/>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emf"/><Relationship Id="rId16" Type="http://schemas.openxmlformats.org/officeDocument/2006/relationships/oleObject" Target="embeddings/oleObject1.bin"/><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97534976682212"/>
          <c:y val="0.159024826660703"/>
          <c:w val="0.89892071952032"/>
          <c:h val="0.642227689554909"/>
        </c:manualLayout>
      </c:layout>
      <c:barChart>
        <c:barDir val="col"/>
        <c:grouping val="stacked"/>
        <c:varyColors val="0"/>
        <c:ser>
          <c:idx val="0"/>
          <c:order val="0"/>
          <c:tx>
            <c:strRef>
              <c:f>Sheet1!$B$1</c:f>
              <c:strCache>
                <c:ptCount val="1"/>
                <c:pt idx="0">
                  <c:v/>
                </c:pt>
              </c:strCache>
            </c:strRef>
          </c:tx>
          <c:spPr>
            <a:solidFill>
              <a:schemeClr val="accent1"/>
            </a:solidFill>
            <a:ln>
              <a:noFill/>
            </a:ln>
            <a:effectLst/>
          </c:spPr>
          <c:invertIfNegative val="0"/>
          <c:dLbls>
            <c:delete val="1"/>
          </c:dLbls>
          <c:cat>
            <c:strRef>
              <c:f>Sheet1!$A$2:$A$3</c:f>
              <c:strCache>
                <c:ptCount val="2"/>
                <c:pt idx="0">
                  <c:v>2019一般公共预算拨款</c:v>
                </c:pt>
                <c:pt idx="1">
                  <c:v>2020一般公共预算拨款</c:v>
                </c:pt>
              </c:strCache>
            </c:strRef>
          </c:cat>
          <c:val>
            <c:numRef>
              <c:f>Sheet1!$B$2:$B$3</c:f>
              <c:numCache>
                <c:formatCode>General</c:formatCode>
                <c:ptCount val="2"/>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Sheet1!$A$2:$A$3</c:f>
              <c:strCache>
                <c:ptCount val="2"/>
                <c:pt idx="0">
                  <c:v>2019一般公共预算拨款</c:v>
                </c:pt>
                <c:pt idx="1">
                  <c:v>2020一般公共预算拨款</c:v>
                </c:pt>
              </c:strCache>
            </c:strRef>
          </c:cat>
          <c:val>
            <c:numRef>
              <c:f>Sheet1!$C$2:$C$3</c:f>
              <c:numCache>
                <c:formatCode>General</c:formatCode>
                <c:ptCount val="2"/>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Sheet1!$A$2:$A$3</c:f>
              <c:strCache>
                <c:ptCount val="2"/>
                <c:pt idx="0">
                  <c:v>2019一般公共预算拨款</c:v>
                </c:pt>
                <c:pt idx="1">
                  <c:v>2020一般公共预算拨款</c:v>
                </c:pt>
              </c:strCache>
            </c:strRef>
          </c:cat>
          <c:val>
            <c:numRef>
              <c:f>Sheet1!$D$2:$D$3</c:f>
              <c:numCache>
                <c:formatCode>General</c:formatCode>
                <c:ptCount val="2"/>
                <c:pt idx="0">
                  <c:v>1235.77</c:v>
                </c:pt>
                <c:pt idx="1">
                  <c:v>742.81</c:v>
                </c:pt>
              </c:numCache>
            </c:numRef>
          </c:val>
        </c:ser>
        <c:dLbls>
          <c:showLegendKey val="0"/>
          <c:showVal val="0"/>
          <c:showCatName val="0"/>
          <c:showSerName val="0"/>
          <c:showPercent val="0"/>
          <c:showBubbleSize val="0"/>
        </c:dLbls>
        <c:gapWidth val="150"/>
        <c:overlap val="100"/>
        <c:axId val="301658445"/>
        <c:axId val="192736197"/>
      </c:barChart>
      <c:catAx>
        <c:axId val="30165844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2736197"/>
        <c:crosses val="autoZero"/>
        <c:auto val="1"/>
        <c:lblAlgn val="ctr"/>
        <c:lblOffset val="100"/>
        <c:noMultiLvlLbl val="0"/>
      </c:catAx>
      <c:valAx>
        <c:axId val="19273619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165844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cap="none" spc="20" baseline="0">
              <a:solidFill>
                <a:schemeClr val="tx1">
                  <a:lumMod val="50000"/>
                  <a:lumOff val="50000"/>
                </a:schemeClr>
              </a:solidFill>
              <a:latin typeface="+mn-lt"/>
              <a:ea typeface="+mn-ea"/>
              <a:cs typeface="+mn-cs"/>
            </a:defRPr>
          </a:pPr>
        </a:p>
      </c:txPr>
    </c:title>
    <c:autoTitleDeleted val="0"/>
    <c:plotArea>
      <c:layout/>
      <c:pieChart>
        <c:varyColors val="1"/>
        <c:ser>
          <c:idx val="0"/>
          <c:order val="0"/>
          <c:tx>
            <c:strRef>
              <c:f>Sheet1!$B$1</c:f>
              <c:strCache>
                <c:ptCount val="1"/>
                <c:pt idx="0">
                  <c:v>总收入</c:v>
                </c:pt>
              </c:strCache>
            </c:strRef>
          </c:tx>
          <c:spPr/>
          <c:explosion val="0"/>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dPt>
          <c:dPt>
            <c:idx val="1"/>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Sheet1!$A$2:$A$3</c:f>
              <c:strCache>
                <c:ptCount val="2"/>
                <c:pt idx="0">
                  <c:v>一般公共预算财政拨款收入</c:v>
                </c:pt>
                <c:pt idx="1">
                  <c:v>上年结转</c:v>
                </c:pt>
              </c:strCache>
            </c:strRef>
          </c:cat>
          <c:val>
            <c:numRef>
              <c:f>Sheet1!$B$2:$B$3</c:f>
              <c:numCache>
                <c:formatCode>General</c:formatCode>
                <c:ptCount val="2"/>
                <c:pt idx="0">
                  <c:v>330.16</c:v>
                </c:pt>
                <c:pt idx="1">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1"/>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总支出</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742.81</c:v>
                </c:pt>
                <c:pt idx="1">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044575"/>
          <c:y val="0.131"/>
          <c:w val="0.927925"/>
          <c:h val="0.716566666666667"/>
        </c:manualLayout>
      </c:layout>
      <c:barChart>
        <c:barDir val="col"/>
        <c:grouping val="stacked"/>
        <c:varyColors val="0"/>
        <c:ser>
          <c:idx val="0"/>
          <c:order val="0"/>
          <c:tx>
            <c:strRef>
              <c:f>Sheet1!#REF!</c:f>
              <c:strCache>
                <c:ptCount val="1"/>
                <c:pt idx="0">
                  <c:v/>
                </c:pt>
              </c:strCache>
            </c:strRef>
          </c:tx>
          <c:spPr>
            <a:solidFill>
              <a:schemeClr val="accent1"/>
            </a:solidFill>
            <a:ln>
              <a:noFill/>
            </a:ln>
            <a:effectLst/>
          </c:spPr>
          <c:invertIfNegative val="0"/>
          <c:dLbls>
            <c:delete val="1"/>
          </c:dLbls>
          <c:cat>
            <c:strRef>
              <c:f>Sheet1!$A$2:$A$5</c:f>
              <c:strCache>
                <c:ptCount val="4"/>
                <c:pt idx="0">
                  <c:v>2019年收入</c:v>
                </c:pt>
                <c:pt idx="1">
                  <c:v>2020年收入</c:v>
                </c:pt>
                <c:pt idx="2">
                  <c:v>2019年支出</c:v>
                </c:pt>
                <c:pt idx="3">
                  <c:v>2020年支出</c:v>
                </c:pt>
              </c:strCache>
            </c:strRef>
          </c:cat>
          <c:val>
            <c:numRef>
              <c:f>Sheet1!#REF!</c:f>
              <c:numCache>
                <c:formatCode>General</c:formatCode>
                <c:ptCount val="1"/>
                <c:pt idx="0">
                  <c:v>1</c:v>
                </c:pt>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Sheet1!$A$2:$A$5</c:f>
              <c:strCache>
                <c:ptCount val="4"/>
                <c:pt idx="0">
                  <c:v>2019年收入</c:v>
                </c:pt>
                <c:pt idx="1">
                  <c:v>2020年收入</c:v>
                </c:pt>
                <c:pt idx="2">
                  <c:v>2019年支出</c:v>
                </c:pt>
                <c:pt idx="3">
                  <c:v>2020年支出</c:v>
                </c:pt>
              </c:strCache>
            </c:strRef>
          </c:cat>
          <c:val>
            <c:numRef>
              <c:f>Sheet1!$C$2:$C$5</c:f>
              <c:numCache>
                <c:formatCode>General</c:formatCode>
                <c:ptCount val="4"/>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2019年收入</c:v>
                </c:pt>
                <c:pt idx="1">
                  <c:v>2020年收入</c:v>
                </c:pt>
                <c:pt idx="2">
                  <c:v>2019年支出</c:v>
                </c:pt>
                <c:pt idx="3">
                  <c:v>2020年支出</c:v>
                </c:pt>
              </c:strCache>
            </c:strRef>
          </c:cat>
          <c:val>
            <c:numRef>
              <c:f>Sheet1!$D$2:$D$5</c:f>
              <c:numCache>
                <c:formatCode>General</c:formatCode>
                <c:ptCount val="4"/>
                <c:pt idx="0">
                  <c:v>1235.77</c:v>
                </c:pt>
                <c:pt idx="1">
                  <c:v>742.81</c:v>
                </c:pt>
                <c:pt idx="2">
                  <c:v>1235.77</c:v>
                </c:pt>
                <c:pt idx="3">
                  <c:v>742.81</c:v>
                </c:pt>
              </c:numCache>
            </c:numRef>
          </c:val>
        </c:ser>
        <c:dLbls>
          <c:showLegendKey val="0"/>
          <c:showVal val="0"/>
          <c:showCatName val="0"/>
          <c:showSerName val="0"/>
          <c:showPercent val="0"/>
          <c:showBubbleSize val="0"/>
        </c:dLbls>
        <c:gapWidth val="150"/>
        <c:overlap val="100"/>
        <c:axId val="892637775"/>
        <c:axId val="527582675"/>
      </c:barChart>
      <c:catAx>
        <c:axId val="89263777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7582675"/>
        <c:crosses val="autoZero"/>
        <c:auto val="1"/>
        <c:lblAlgn val="ctr"/>
        <c:lblOffset val="100"/>
        <c:noMultiLvlLbl val="0"/>
      </c:catAx>
      <c:valAx>
        <c:axId val="5275826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263777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7761492338441"/>
          <c:y val="0.0952806978304637"/>
          <c:w val="0.89892071952032"/>
          <c:h val="0.642227689554909"/>
        </c:manualLayout>
      </c:layout>
      <c:barChart>
        <c:barDir val="col"/>
        <c:grouping val="stacked"/>
        <c:varyColors val="0"/>
        <c:ser>
          <c:idx val="0"/>
          <c:order val="0"/>
          <c:tx>
            <c:strRef>
              <c:f>Sheet1!$B$1</c:f>
              <c:strCache>
                <c:ptCount val="1"/>
                <c:pt idx="0">
                  <c:v/>
                </c:pt>
              </c:strCache>
            </c:strRef>
          </c:tx>
          <c:spPr>
            <a:solidFill>
              <a:schemeClr val="accent1"/>
            </a:solidFill>
            <a:ln>
              <a:noFill/>
            </a:ln>
            <a:effectLst/>
          </c:spPr>
          <c:invertIfNegative val="0"/>
          <c:dLbls>
            <c:delete val="1"/>
          </c:dLbls>
          <c:cat>
            <c:strRef>
              <c:f>Sheet1!$A$2:$A$3</c:f>
              <c:strCache>
                <c:ptCount val="2"/>
                <c:pt idx="0">
                  <c:v>2019一般公共预算拨款</c:v>
                </c:pt>
                <c:pt idx="1">
                  <c:v>2020一般公共预算拨款</c:v>
                </c:pt>
              </c:strCache>
            </c:strRef>
          </c:cat>
          <c:val>
            <c:numRef>
              <c:f>Sheet1!$B$2:$B$3</c:f>
              <c:numCache>
                <c:formatCode>General</c:formatCode>
                <c:ptCount val="2"/>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Sheet1!$A$2:$A$3</c:f>
              <c:strCache>
                <c:ptCount val="2"/>
                <c:pt idx="0">
                  <c:v>2019一般公共预算拨款</c:v>
                </c:pt>
                <c:pt idx="1">
                  <c:v>2020一般公共预算拨款</c:v>
                </c:pt>
              </c:strCache>
            </c:strRef>
          </c:cat>
          <c:val>
            <c:numRef>
              <c:f>Sheet1!$C$2:$C$3</c:f>
              <c:numCache>
                <c:formatCode>General</c:formatCode>
                <c:ptCount val="2"/>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Sheet1!$A$2:$A$3</c:f>
              <c:strCache>
                <c:ptCount val="2"/>
                <c:pt idx="0">
                  <c:v>2019一般公共预算拨款</c:v>
                </c:pt>
                <c:pt idx="1">
                  <c:v>2020一般公共预算拨款</c:v>
                </c:pt>
              </c:strCache>
            </c:strRef>
          </c:cat>
          <c:val>
            <c:numRef>
              <c:f>Sheet1!$D$2:$D$3</c:f>
              <c:numCache>
                <c:formatCode>General</c:formatCode>
                <c:ptCount val="2"/>
                <c:pt idx="0">
                  <c:v>1235.77</c:v>
                </c:pt>
                <c:pt idx="1">
                  <c:v>742.81</c:v>
                </c:pt>
              </c:numCache>
            </c:numRef>
          </c:val>
        </c:ser>
        <c:dLbls>
          <c:showLegendKey val="0"/>
          <c:showVal val="0"/>
          <c:showCatName val="0"/>
          <c:showSerName val="0"/>
          <c:showPercent val="0"/>
          <c:showBubbleSize val="0"/>
        </c:dLbls>
        <c:gapWidth val="150"/>
        <c:overlap val="100"/>
        <c:axId val="301658445"/>
        <c:axId val="192736197"/>
      </c:barChart>
      <c:catAx>
        <c:axId val="30165844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2736197"/>
        <c:crosses val="autoZero"/>
        <c:auto val="1"/>
        <c:lblAlgn val="ctr"/>
        <c:lblOffset val="100"/>
        <c:noMultiLvlLbl val="0"/>
      </c:catAx>
      <c:valAx>
        <c:axId val="19273619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165844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p>
      </c:txPr>
    </c:title>
    <c:autoTitleDeleted val="0"/>
    <c:plotArea>
      <c:layout>
        <c:manualLayout>
          <c:layoutTarget val="inner"/>
          <c:xMode val="edge"/>
          <c:yMode val="edge"/>
          <c:x val="0.179675884626821"/>
          <c:y val="0.127247020803878"/>
          <c:w val="0.575825156110616"/>
          <c:h val="0.782266208846698"/>
        </c:manualLayout>
      </c:layout>
      <c:pieChart>
        <c:varyColors val="1"/>
        <c:ser>
          <c:idx val="0"/>
          <c:order val="0"/>
          <c:tx>
            <c:strRef>
              <c:f>Sheet1!$B$1</c:f>
              <c:strCache>
                <c:ptCount val="1"/>
                <c:pt idx="0">
                  <c:v>财政拨款支出</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Sheet1!$A$2:$A$5</c:f>
              <c:strCache>
                <c:ptCount val="4"/>
                <c:pt idx="0">
                  <c:v>教育支出</c:v>
                </c:pt>
                <c:pt idx="1">
                  <c:v>医疗卫生支出</c:v>
                </c:pt>
                <c:pt idx="2">
                  <c:v>住房保障支出</c:v>
                </c:pt>
                <c:pt idx="3">
                  <c:v>社会保障和就业</c:v>
                </c:pt>
              </c:strCache>
            </c:strRef>
          </c:cat>
          <c:val>
            <c:numRef>
              <c:f>Sheet1!$B$2:$B$5</c:f>
              <c:numCache>
                <c:formatCode>General</c:formatCode>
                <c:ptCount val="4"/>
                <c:pt idx="0">
                  <c:v>606.77</c:v>
                </c:pt>
                <c:pt idx="1">
                  <c:v>22.7</c:v>
                </c:pt>
                <c:pt idx="2">
                  <c:v>47.2</c:v>
                </c:pt>
                <c:pt idx="3">
                  <c:v>66.14</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9337A9-B7E8-45CF-89B2-34C4CEDBF6ED}">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19</Pages>
  <Words>5163</Words>
  <Characters>2740</Characters>
  <Lines>22</Lines>
  <Paragraphs>15</Paragraphs>
  <TotalTime>3</TotalTime>
  <ScaleCrop>false</ScaleCrop>
  <LinksUpToDate>false</LinksUpToDate>
  <CharactersWithSpaces>7888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刘茂勇</cp:lastModifiedBy>
  <cp:lastPrinted>2019-08-01T00:48:00Z</cp:lastPrinted>
  <dcterms:modified xsi:type="dcterms:W3CDTF">2021-10-28T09:13:55Z</dcterms:modified>
  <dc:title>四川省***</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