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7193"/>
      <w:bookmarkStart w:id="3" w:name="_Toc15396597"/>
      <w:bookmarkStart w:id="4" w:name="_Toc15378441"/>
      <w:bookmarkStart w:id="5" w:name="_Toc15396475"/>
      <w:r>
        <w:rPr>
          <w:rFonts w:ascii="黑体" w:hAnsi="黑体" w:eastAsia="黑体"/>
          <w:color w:val="000000"/>
          <w:sz w:val="72"/>
          <w:szCs w:val="72"/>
        </w:rPr>
        <w:t>20</w:t>
      </w:r>
      <w:r>
        <w:rPr>
          <w:rFonts w:hint="eastAsia" w:ascii="黑体" w:hAnsi="黑体" w:eastAsia="黑体"/>
          <w:color w:val="000000"/>
          <w:sz w:val="72"/>
          <w:szCs w:val="72"/>
          <w:lang w:val="en-US" w:eastAsia="zh-CN"/>
        </w:rPr>
        <w:t>20</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8442"/>
      <w:bookmarkStart w:id="7" w:name="_Toc15377426"/>
      <w:bookmarkStart w:id="8" w:name="_Toc15396598"/>
      <w:bookmarkStart w:id="9" w:name="_Toc15396476"/>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达州市开江县讲治镇中心小学部门决算</w:t>
      </w:r>
      <w:bookmarkEnd w:id="6"/>
      <w:bookmarkEnd w:id="7"/>
      <w:bookmarkEnd w:id="8"/>
      <w:bookmarkEnd w:id="9"/>
      <w:bookmarkEnd w:id="10"/>
      <w:bookmarkEnd w:id="11"/>
    </w:p>
    <w:p>
      <w:pPr>
        <w:widowControl/>
        <w:jc w:val="center"/>
        <w:rPr>
          <w:rFonts w:ascii="黑体" w:hAnsi="黑体" w:eastAsia="黑体"/>
          <w:color w:val="000000"/>
          <w:sz w:val="48"/>
          <w:szCs w:val="48"/>
        </w:rPr>
      </w:pPr>
      <w:bookmarkStart w:id="75" w:name="_GoBack"/>
      <w:bookmarkEnd w:id="75"/>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u w:val="single"/>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公开时间：202</w:t>
      </w:r>
      <w:r>
        <w:rPr>
          <w:rFonts w:hint="eastAsia"/>
          <w:lang w:val="en-US" w:eastAsia="zh-CN"/>
        </w:rPr>
        <w:t>1</w:t>
      </w:r>
      <w:r>
        <w:rPr>
          <w:rFonts w:hint="eastAsia"/>
        </w:rPr>
        <w:t>年</w:t>
      </w:r>
      <w:r>
        <w:rPr>
          <w:rFonts w:hint="eastAsia"/>
          <w:lang w:val="en-US" w:eastAsia="zh-CN"/>
        </w:rPr>
        <w:t>10</w:t>
      </w:r>
      <w:r>
        <w:rPr>
          <w:rFonts w:hint="eastAsia"/>
        </w:rPr>
        <w:t>月8日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w:t>
      </w:r>
      <w:r>
        <w:rPr>
          <w:rStyle w:val="15"/>
          <w:rFonts w:hint="eastAsia"/>
          <w:lang w:val="en-US" w:eastAsia="zh-CN"/>
        </w:rPr>
        <w:t>20</w:t>
      </w:r>
      <w:r>
        <w:rPr>
          <w:rStyle w:val="15"/>
          <w:rFonts w:hint="eastAsia"/>
        </w:rPr>
        <w:t>年度部门决算情况说明</w:t>
      </w:r>
      <w:r>
        <w:tab/>
      </w:r>
      <w:r>
        <w:rPr>
          <w:rFonts w:hint="eastAsia"/>
          <w:lang w:val="en-US" w:eastAsia="zh-CN"/>
        </w:rPr>
        <w:t>5</w:t>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rPr>
        <w:t>6</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rPr>
        <w:t>6</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rPr>
        <w:t>7</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rPr>
        <w:t>8</w:t>
      </w:r>
      <w:r>
        <w:rPr>
          <w:rFonts w:hint="eastAsia" w:ascii="仿宋" w:hAnsi="仿宋" w:eastAsia="仿宋"/>
          <w:sz w:val="28"/>
          <w:szCs w:val="28"/>
        </w:rPr>
        <w:fldChar w:fldCharType="end"/>
      </w:r>
    </w:p>
    <w:p>
      <w:pPr>
        <w:pStyle w:val="11"/>
        <w:rPr>
          <w:rFonts w:hint="default" w:ascii="仿宋" w:hAnsi="仿宋" w:eastAsia="仿宋" w:cstheme="minorBidi"/>
          <w:sz w:val="28"/>
          <w:szCs w:val="28"/>
          <w:lang w:val="en-US" w:eastAsia="zh-CN"/>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rPr>
        <w:fldChar w:fldCharType="end"/>
      </w:r>
      <w:r>
        <w:rPr>
          <w:rFonts w:hint="eastAsia" w:ascii="仿宋" w:hAnsi="仿宋" w:eastAsia="仿宋"/>
          <w:sz w:val="28"/>
          <w:szCs w:val="28"/>
          <w:lang w:val="en-US" w:eastAsia="zh-CN"/>
        </w:rPr>
        <w:t>11</w:t>
      </w:r>
    </w:p>
    <w:p>
      <w:pPr>
        <w:pStyle w:val="11"/>
        <w:rPr>
          <w:rFonts w:hint="eastAsia" w:ascii="仿宋" w:hAnsi="仿宋" w:eastAsia="仿宋" w:cstheme="minorBidi"/>
          <w:sz w:val="28"/>
          <w:szCs w:val="28"/>
          <w:lang w:val="en-US" w:eastAsia="zh-CN"/>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1"/>
        <w:rPr>
          <w:rFonts w:hint="eastAsia" w:eastAsia="仿宋"/>
          <w:lang w:val="en-US" w:eastAsia="zh-CN"/>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3</w:t>
      </w:r>
    </w:p>
    <w:p>
      <w:pPr>
        <w:ind w:firstLine="420" w:firstLineChars="150"/>
        <w:rPr>
          <w:rFonts w:hint="default" w:ascii="仿宋" w:hAnsi="仿宋" w:eastAsia="仿宋"/>
          <w:sz w:val="28"/>
          <w:szCs w:val="28"/>
          <w:lang w:val="en-US" w:eastAsia="zh-CN"/>
        </w:rPr>
      </w:pPr>
      <w:r>
        <w:rPr>
          <w:rFonts w:hint="eastAsia" w:ascii="仿宋" w:hAnsi="仿宋" w:eastAsia="仿宋"/>
          <w:sz w:val="28"/>
          <w:szCs w:val="28"/>
        </w:rPr>
        <w:t>十、预算绩效情况说明</w:t>
      </w:r>
      <w:r>
        <w:rPr>
          <w:rFonts w:hint="default" w:ascii="Arial" w:hAnsi="Arial" w:eastAsia="仿宋" w:cs="Arial"/>
          <w:sz w:val="28"/>
          <w:szCs w:val="28"/>
        </w:rPr>
        <w:t>……………………………………………</w:t>
      </w:r>
      <w:r>
        <w:rPr>
          <w:rFonts w:hint="eastAsia" w:ascii="仿宋" w:hAnsi="仿宋" w:eastAsia="仿宋"/>
          <w:sz w:val="28"/>
          <w:szCs w:val="28"/>
          <w:lang w:val="en-US" w:eastAsia="zh-CN"/>
        </w:rPr>
        <w:t>13</w:t>
      </w:r>
    </w:p>
    <w:p>
      <w:pPr>
        <w:pStyle w:val="11"/>
        <w:rPr>
          <w:rFonts w:hint="eastAsia" w:ascii="仿宋" w:hAnsi="仿宋" w:eastAsia="仿宋" w:cstheme="minorBidi"/>
          <w:sz w:val="28"/>
          <w:szCs w:val="28"/>
          <w:lang w:val="en-US" w:eastAsia="zh-CN"/>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0"/>
        <w:rPr>
          <w:rFonts w:hint="eastAsia" w:eastAsia="仿宋" w:cstheme="minorBidi"/>
          <w:lang w:val="en-US" w:eastAsia="zh-CN"/>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rPr>
          <w:rFonts w:hint="eastAsia"/>
          <w:lang w:val="en-US" w:eastAsia="zh-CN"/>
        </w:rPr>
        <w:t>1</w:t>
      </w:r>
      <w:r>
        <w:fldChar w:fldCharType="end"/>
      </w:r>
      <w:r>
        <w:rPr>
          <w:rFonts w:hint="eastAsia"/>
          <w:lang w:val="en-US" w:eastAsia="zh-CN"/>
        </w:rPr>
        <w:t>5</w:t>
      </w:r>
    </w:p>
    <w:p>
      <w:pPr>
        <w:pStyle w:val="10"/>
        <w:rPr>
          <w:rFonts w:hint="eastAsia" w:eastAsia="仿宋" w:cstheme="minorBidi"/>
          <w:lang w:val="en-US" w:eastAsia="zh-CN"/>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四部分附件</w:t>
      </w:r>
      <w:r>
        <w:tab/>
      </w:r>
      <w:r>
        <w:rPr>
          <w:rFonts w:hint="eastAsia"/>
          <w:lang w:val="en-US" w:eastAsia="zh-CN"/>
        </w:rPr>
        <w:t>1</w:t>
      </w:r>
      <w:r>
        <w:fldChar w:fldCharType="end"/>
      </w:r>
      <w:r>
        <w:rPr>
          <w:rFonts w:hint="eastAsia"/>
          <w:lang w:val="en-US" w:eastAsia="zh-CN"/>
        </w:rPr>
        <w:t>7</w:t>
      </w:r>
    </w:p>
    <w:p>
      <w:pPr>
        <w:pStyle w:val="11"/>
        <w:rPr>
          <w:rFonts w:hint="default" w:ascii="仿宋" w:hAnsi="仿宋" w:eastAsia="仿宋" w:cstheme="minorBidi"/>
          <w:sz w:val="28"/>
          <w:szCs w:val="28"/>
          <w:lang w:val="en-US" w:eastAsia="zh-CN"/>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0"/>
        <w:rPr>
          <w:rFonts w:hint="eastAsia" w:eastAsia="仿宋" w:cstheme="minorBidi"/>
          <w:lang w:val="en-US" w:eastAsia="zh-CN"/>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五部分附表</w:t>
      </w:r>
      <w:r>
        <w:tab/>
      </w:r>
      <w:r>
        <w:rPr>
          <w:rFonts w:hint="eastAsia"/>
          <w:lang w:val="en-US" w:eastAsia="zh-CN"/>
        </w:rPr>
        <w:t>2</w:t>
      </w:r>
      <w:r>
        <w:fldChar w:fldCharType="end"/>
      </w:r>
      <w:r>
        <w:rPr>
          <w:rFonts w:hint="eastAsia"/>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lang w:val="en-US" w:eastAsia="zh-CN"/>
        </w:rPr>
        <w:t>21</w:t>
      </w:r>
      <w:r>
        <w:rPr>
          <w:rFonts w:ascii="仿宋" w:hAnsi="仿宋" w:eastAsia="仿宋"/>
          <w:sz w:val="28"/>
          <w:szCs w:val="28"/>
        </w:rPr>
        <w:fldChar w:fldCharType="end"/>
      </w:r>
    </w:p>
    <w:p>
      <w:pPr>
        <w:pStyle w:val="11"/>
        <w:rPr>
          <w:rFonts w:hint="eastAsia" w:ascii="仿宋" w:hAnsi="仿宋" w:eastAsia="仿宋"/>
          <w:sz w:val="28"/>
          <w:szCs w:val="28"/>
          <w:lang w:val="en-US" w:eastAsia="zh-CN"/>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default" w:ascii="仿宋" w:hAnsi="仿宋" w:eastAsia="仿宋" w:cstheme="minorBidi"/>
          <w:sz w:val="24"/>
          <w:lang w:val="en-US" w:eastAsia="zh-CN"/>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29"/>
          <w:rFonts w:hint="eastAsia" w:ascii="仿宋" w:hAnsi="仿宋" w:eastAsia="仿宋" w:cs="Times New Roman"/>
          <w:b w:val="0"/>
          <w:bCs w:val="0"/>
        </w:rPr>
        <w:t>国</w:t>
      </w:r>
      <w:r>
        <w:rPr>
          <w:rStyle w:val="29"/>
          <w:rFonts w:hint="eastAsia" w:ascii="仿宋" w:hAnsi="仿宋" w:eastAsia="仿宋"/>
          <w:b w:val="0"/>
          <w:bCs w:val="0"/>
        </w:rPr>
        <w:t>有资本经营预算财政拨款</w:t>
      </w:r>
      <w:r>
        <w:rPr>
          <w:rStyle w:val="29"/>
          <w:rFonts w:hint="eastAsia" w:ascii="仿宋" w:hAnsi="仿宋" w:eastAsia="仿宋"/>
          <w:b w:val="0"/>
          <w:bCs w:val="0"/>
          <w:lang w:eastAsia="zh-CN"/>
        </w:rPr>
        <w:t>收入</w:t>
      </w:r>
      <w:r>
        <w:rPr>
          <w:rStyle w:val="29"/>
          <w:rFonts w:hint="eastAsia" w:ascii="仿宋" w:hAnsi="仿宋" w:eastAsia="仿宋"/>
          <w:b w:val="0"/>
          <w:bCs w:val="0"/>
        </w:rPr>
        <w:t>支出决算表</w:t>
      </w:r>
      <w:r>
        <w:rPr>
          <w:rFonts w:ascii="仿宋" w:hAnsi="仿宋" w:eastAsia="仿宋"/>
          <w:sz w:val="28"/>
          <w:szCs w:val="28"/>
        </w:rPr>
        <w:tab/>
      </w:r>
      <w:r>
        <w:rPr>
          <w:rFonts w:ascii="仿宋" w:hAnsi="仿宋" w:eastAsia="仿宋"/>
          <w:sz w:val="28"/>
          <w:szCs w:val="28"/>
        </w:rPr>
        <w:fldChar w:fldCharType="end"/>
      </w:r>
      <w:r>
        <w:rPr>
          <w:rFonts w:hint="eastAsia" w:ascii="仿宋" w:hAnsi="仿宋" w:eastAsia="仿宋"/>
          <w:sz w:val="28"/>
          <w:szCs w:val="28"/>
          <w:lang w:val="en-US" w:eastAsia="zh-CN"/>
        </w:rPr>
        <w:t>21</w:t>
      </w:r>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Style w:val="29"/>
          <w:rFonts w:hint="eastAsia" w:ascii="仿宋" w:hAnsi="仿宋" w:eastAsia="仿宋"/>
          <w:b w:val="0"/>
          <w:bCs w:val="0"/>
        </w:rPr>
      </w:pPr>
      <w:r>
        <w:rPr>
          <w:rFonts w:ascii="仿宋" w:hAnsi="仿宋" w:eastAsia="仿宋"/>
          <w:color w:val="000000"/>
          <w:sz w:val="24"/>
        </w:rPr>
        <w:fldChar w:fldCharType="end"/>
      </w:r>
      <w:r>
        <w:rPr>
          <w:rFonts w:hint="eastAsia" w:ascii="仿宋" w:hAnsi="仿宋" w:eastAsia="仿宋"/>
          <w:color w:val="000000"/>
          <w:sz w:val="24"/>
          <w:lang w:val="en-US" w:eastAsia="zh-CN"/>
        </w:rPr>
        <w:t xml:space="preserve">   </w:t>
      </w:r>
      <w:r>
        <w:rPr>
          <w:rStyle w:val="29"/>
          <w:rFonts w:hint="eastAsia" w:ascii="仿宋" w:hAnsi="仿宋" w:eastAsia="仿宋"/>
          <w:b w:val="0"/>
          <w:bCs w:val="0"/>
          <w:lang w:eastAsia="zh-CN"/>
        </w:rPr>
        <w:t>十四、</w:t>
      </w:r>
      <w:r>
        <w:rPr>
          <w:rFonts w:hint="eastAsia" w:ascii="仿宋" w:hAnsi="仿宋" w:eastAsia="仿宋"/>
          <w:b w:val="0"/>
          <w:color w:val="000000"/>
        </w:rPr>
        <w:t>国</w:t>
      </w:r>
      <w:r>
        <w:rPr>
          <w:rStyle w:val="29"/>
          <w:rFonts w:hint="eastAsia" w:ascii="仿宋" w:hAnsi="仿宋" w:eastAsia="仿宋"/>
          <w:b w:val="0"/>
          <w:bCs w:val="0"/>
        </w:rPr>
        <w:t>有资本经营预算财政拨款支出决算表</w:t>
      </w:r>
      <w:r>
        <w:rPr>
          <w:rStyle w:val="29"/>
          <w:rFonts w:hint="default" w:ascii="Arial" w:hAnsi="Arial" w:eastAsia="仿宋" w:cs="Arial"/>
          <w:b w:val="0"/>
          <w:bCs w:val="0"/>
          <w:lang w:val="en-US" w:eastAsia="zh-CN"/>
        </w:rPr>
        <w:t>………</w:t>
      </w:r>
      <w:r>
        <w:rPr>
          <w:rFonts w:hint="eastAsia" w:ascii="仿宋" w:hAnsi="仿宋" w:eastAsia="仿宋" w:cs="Times New Roman"/>
          <w:b w:val="0"/>
          <w:bCs w:val="0"/>
          <w:kern w:val="2"/>
          <w:sz w:val="28"/>
          <w:szCs w:val="28"/>
          <w:lang w:val="en-US" w:eastAsia="zh-CN" w:bidi="ar-SA"/>
        </w:rPr>
        <w:t>21</w:t>
      </w:r>
      <w:r>
        <w:rPr>
          <w:rStyle w:val="29"/>
          <w:rFonts w:hint="eastAsia" w:ascii="仿宋" w:hAnsi="仿宋" w:eastAsia="仿宋"/>
          <w:b w:val="0"/>
          <w:bCs w:val="0"/>
        </w:rPr>
        <w:tab/>
      </w:r>
      <w:r>
        <w:rPr>
          <w:rFonts w:ascii="仿宋" w:hAnsi="仿宋" w:eastAsia="仿宋"/>
          <w:sz w:val="28"/>
          <w:szCs w:val="28"/>
        </w:rPr>
        <w:tab/>
      </w:r>
      <w:r>
        <w:rPr>
          <w:rFonts w:ascii="仿宋" w:hAnsi="仿宋" w:eastAsia="仿宋"/>
          <w:sz w:val="28"/>
          <w:szCs w:val="28"/>
        </w:rPr>
        <w:tab/>
      </w:r>
    </w:p>
    <w:p>
      <w:pPr>
        <w:widowControl/>
        <w:jc w:val="left"/>
        <w:rPr>
          <w:rFonts w:ascii="仿宋" w:hAnsi="仿宋" w:eastAsia="仿宋"/>
          <w:color w:val="000000"/>
          <w:sz w:val="24"/>
        </w:rPr>
      </w:pPr>
    </w:p>
    <w:p>
      <w:pPr>
        <w:widowControl/>
        <w:ind w:firstLine="2165" w:firstLineChars="1027"/>
        <w:jc w:val="left"/>
        <w:rPr>
          <w:rFonts w:ascii="黑体" w:hAnsi="黑体" w:eastAsia="黑体"/>
          <w:b/>
        </w:rPr>
      </w:pPr>
      <w:bookmarkStart w:id="12" w:name="_Toc15377196"/>
      <w:bookmarkStart w:id="13" w:name="_Toc15396599"/>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widowControl/>
        <w:ind w:firstLine="2156" w:firstLineChars="1027"/>
        <w:jc w:val="left"/>
        <w:rPr>
          <w:rFonts w:ascii="黑体" w:hAnsi="黑体" w:eastAsia="黑体"/>
        </w:rPr>
      </w:pPr>
    </w:p>
    <w:p>
      <w:pPr>
        <w:rPr>
          <w:rFonts w:ascii="黑体" w:hAnsi="黑体" w:eastAsia="黑体"/>
        </w:rPr>
      </w:pPr>
    </w:p>
    <w:p>
      <w:pPr>
        <w:rPr>
          <w:rFonts w:ascii="黑体" w:hAnsi="黑体" w:eastAsia="黑体"/>
        </w:rPr>
      </w:pPr>
    </w:p>
    <w:p>
      <w:pPr>
        <w:widowControl/>
        <w:ind w:firstLine="2156" w:firstLineChars="1027"/>
        <w:jc w:val="left"/>
        <w:rPr>
          <w:rFonts w:ascii="黑体" w:hAnsi="黑体" w:eastAsia="黑体"/>
        </w:rPr>
      </w:pPr>
    </w:p>
    <w:p>
      <w:pPr>
        <w:widowControl/>
        <w:ind w:firstLine="2156" w:firstLineChars="1027"/>
        <w:jc w:val="left"/>
        <w:rPr>
          <w:rFonts w:ascii="黑体" w:hAnsi="黑体" w:eastAsia="黑体"/>
        </w:rPr>
      </w:pPr>
    </w:p>
    <w:p>
      <w:pPr>
        <w:widowControl/>
        <w:ind w:firstLine="2156" w:firstLineChars="1027"/>
        <w:jc w:val="right"/>
        <w:rPr>
          <w:rFonts w:ascii="黑体" w:hAnsi="黑体" w:eastAsia="黑体"/>
        </w:rPr>
      </w:pPr>
    </w:p>
    <w:p>
      <w:pPr>
        <w:widowControl/>
        <w:ind w:firstLine="2200" w:firstLineChars="500"/>
        <w:jc w:val="left"/>
        <w:rPr>
          <w:rStyle w:val="24"/>
          <w:rFonts w:ascii="黑体" w:hAnsi="黑体" w:eastAsia="黑体"/>
        </w:rPr>
      </w:pPr>
      <w:r>
        <w:rPr>
          <w:rFonts w:hint="eastAsia" w:ascii="黑体" w:hAnsi="黑体" w:eastAsia="黑体"/>
          <w:sz w:val="44"/>
          <w:szCs w:val="44"/>
        </w:rPr>
        <w:t xml:space="preserve">第一部分 </w:t>
      </w:r>
      <w:r>
        <w:rPr>
          <w:rStyle w:val="24"/>
          <w:rFonts w:hint="eastAsia" w:ascii="黑体" w:hAnsi="黑体" w:eastAsia="黑体"/>
        </w:rPr>
        <w:t>部门概况</w:t>
      </w:r>
      <w:bookmarkEnd w:id="12"/>
      <w:bookmarkEnd w:id="13"/>
      <w:bookmarkStart w:id="14" w:name="_Toc15396600"/>
      <w:bookmarkStart w:id="15" w:name="_Toc15377197"/>
    </w:p>
    <w:p>
      <w:pPr>
        <w:widowControl/>
        <w:jc w:val="left"/>
        <w:rPr>
          <w:rFonts w:hint="eastAsia" w:ascii="黑体" w:hAnsi="黑体" w:eastAsia="黑体"/>
          <w:color w:val="000000"/>
          <w:sz w:val="32"/>
          <w:szCs w:val="32"/>
        </w:rPr>
      </w:pPr>
    </w:p>
    <w:p>
      <w:pPr>
        <w:widowControl/>
        <w:jc w:val="left"/>
        <w:rPr>
          <w:rStyle w:val="25"/>
          <w:rFonts w:ascii="黑体" w:hAnsi="黑体" w:eastAsia="黑体" w:cs="Times New Roman"/>
          <w:b w:val="0"/>
          <w:kern w:val="44"/>
        </w:rPr>
      </w:pPr>
      <w:r>
        <w:rPr>
          <w:rFonts w:hint="eastAsia" w:ascii="黑体" w:hAnsi="黑体" w:eastAsia="黑体"/>
          <w:color w:val="000000"/>
          <w:sz w:val="32"/>
          <w:szCs w:val="32"/>
        </w:rPr>
        <w:t>一、基</w:t>
      </w:r>
      <w:r>
        <w:rPr>
          <w:rStyle w:val="25"/>
          <w:rFonts w:hint="eastAsia" w:ascii="黑体" w:hAnsi="黑体" w:eastAsia="黑体"/>
        </w:rPr>
        <w:t>本职能及主要工作</w:t>
      </w:r>
      <w:bookmarkEnd w:id="14"/>
      <w:bookmarkEnd w:id="15"/>
    </w:p>
    <w:p>
      <w:pPr>
        <w:rPr>
          <w:rFonts w:hint="eastAsia" w:ascii="宋体" w:hAnsi="宋体"/>
          <w:bCs/>
          <w:color w:val="000000"/>
          <w:sz w:val="28"/>
          <w:szCs w:val="28"/>
        </w:rPr>
      </w:pPr>
      <w:bookmarkStart w:id="16" w:name="_Toc15377198"/>
      <w:bookmarkStart w:id="17" w:name="_Toc15378445"/>
      <w:r>
        <w:rPr>
          <w:rFonts w:hint="eastAsia" w:ascii="仿宋" w:hAnsi="仿宋" w:eastAsia="仿宋"/>
          <w:bCs/>
          <w:color w:val="000000"/>
          <w:sz w:val="32"/>
          <w:szCs w:val="32"/>
        </w:rPr>
        <w:t xml:space="preserve"> </w:t>
      </w:r>
      <w:r>
        <w:rPr>
          <w:rFonts w:hint="eastAsia" w:ascii="宋体" w:hAnsi="宋体"/>
          <w:bCs/>
          <w:color w:val="000000"/>
          <w:sz w:val="28"/>
          <w:szCs w:val="28"/>
        </w:rPr>
        <w:t xml:space="preserve"> </w:t>
      </w:r>
      <w:r>
        <w:rPr>
          <w:rFonts w:hint="eastAsia" w:ascii="宋体" w:hAnsi="宋体"/>
          <w:b/>
          <w:bCs w:val="0"/>
          <w:color w:val="000000"/>
          <w:sz w:val="28"/>
          <w:szCs w:val="28"/>
        </w:rPr>
        <w:t>（一）主要职能。</w:t>
      </w:r>
      <w:bookmarkEnd w:id="16"/>
      <w:bookmarkEnd w:id="17"/>
      <w:bookmarkStart w:id="18" w:name="_Toc15378446"/>
      <w:bookmarkStart w:id="19" w:name="_Toc15377199"/>
      <w:r>
        <w:rPr>
          <w:rFonts w:hint="eastAsia" w:ascii="宋体" w:hAnsi="宋体"/>
          <w:bCs/>
          <w:color w:val="000000"/>
          <w:sz w:val="28"/>
          <w:szCs w:val="28"/>
        </w:rPr>
        <w:t>（职能参照省政府批准的三定方案）</w:t>
      </w:r>
    </w:p>
    <w:p>
      <w:pPr>
        <w:keepNext w:val="0"/>
        <w:keepLines w:val="0"/>
        <w:pageBreakBefore w:val="0"/>
        <w:widowControl/>
        <w:kinsoku/>
        <w:wordWrap/>
        <w:overflowPunct/>
        <w:topLinePunct w:val="0"/>
        <w:autoSpaceDE/>
        <w:autoSpaceDN/>
        <w:bidi w:val="0"/>
        <w:spacing w:line="578" w:lineRule="exact"/>
        <w:ind w:firstLine="627" w:firstLineChars="224"/>
        <w:jc w:val="left"/>
        <w:textAlignment w:val="auto"/>
        <w:rPr>
          <w:rFonts w:ascii="仿宋" w:hAnsi="仿宋" w:eastAsia="仿宋"/>
          <w:color w:val="000000" w:themeColor="text1"/>
          <w:sz w:val="32"/>
          <w:szCs w:val="32"/>
        </w:rPr>
      </w:pPr>
      <w:r>
        <w:rPr>
          <w:rFonts w:hint="eastAsia" w:ascii="宋体" w:hAnsi="宋体"/>
          <w:sz w:val="28"/>
          <w:szCs w:val="28"/>
        </w:rPr>
        <w:t>开江县</w:t>
      </w:r>
      <w:r>
        <w:rPr>
          <w:rFonts w:hint="eastAsia" w:ascii="宋体" w:hAnsi="宋体"/>
          <w:sz w:val="28"/>
          <w:szCs w:val="28"/>
          <w:lang w:val="en-US" w:eastAsia="zh-CN"/>
        </w:rPr>
        <w:t>讲治</w:t>
      </w:r>
      <w:r>
        <w:rPr>
          <w:rFonts w:hint="eastAsia" w:ascii="宋体" w:hAnsi="宋体"/>
          <w:sz w:val="28"/>
          <w:szCs w:val="28"/>
        </w:rPr>
        <w:t>镇中心小学隶属于开江县教育科技知识产权局，是一所乡镇农村小学。在教科局和上级部门的领导下，依法</w:t>
      </w:r>
      <w:r>
        <w:rPr>
          <w:rFonts w:hint="eastAsia" w:ascii="宋体" w:hAnsi="宋体"/>
          <w:sz w:val="28"/>
          <w:szCs w:val="28"/>
          <w:lang w:val="en-US" w:eastAsia="zh-CN"/>
        </w:rPr>
        <w:t>执教</w:t>
      </w:r>
      <w:r>
        <w:rPr>
          <w:rFonts w:hint="eastAsia" w:ascii="宋体" w:hAnsi="宋体"/>
          <w:sz w:val="28"/>
          <w:szCs w:val="28"/>
        </w:rPr>
        <w:t>,全面贯彻落实科学发展观，促进本校教育事业的蓬勃发展。</w:t>
      </w:r>
    </w:p>
    <w:p>
      <w:pPr>
        <w:ind w:firstLine="560" w:firstLineChars="200"/>
        <w:rPr>
          <w:rFonts w:hint="eastAsia" w:ascii="宋体" w:hAnsi="宋体"/>
          <w:sz w:val="28"/>
          <w:szCs w:val="28"/>
        </w:rPr>
      </w:pPr>
      <w:r>
        <w:rPr>
          <w:rFonts w:hint="eastAsia" w:ascii="宋体" w:hAnsi="宋体"/>
          <w:sz w:val="28"/>
          <w:szCs w:val="28"/>
        </w:rPr>
        <w:t>确立了“</w:t>
      </w:r>
      <w:r>
        <w:rPr>
          <w:rFonts w:hint="eastAsia" w:ascii="宋体" w:hAnsi="宋体"/>
          <w:sz w:val="28"/>
          <w:szCs w:val="28"/>
          <w:lang w:val="en-US" w:eastAsia="zh-CN"/>
        </w:rPr>
        <w:t>以理德文化”为特色的校园文化建设，打造廉洁学校示范点为</w:t>
      </w:r>
      <w:r>
        <w:rPr>
          <w:rFonts w:hint="eastAsia" w:ascii="宋体" w:hAnsi="宋体"/>
          <w:sz w:val="28"/>
          <w:szCs w:val="28"/>
        </w:rPr>
        <w:t>目标；以</w:t>
      </w:r>
      <w:r>
        <w:rPr>
          <w:rFonts w:hint="eastAsia" w:ascii="宋体" w:hAnsi="宋体"/>
          <w:sz w:val="28"/>
          <w:szCs w:val="28"/>
          <w:lang w:val="en-US" w:eastAsia="zh-CN"/>
        </w:rPr>
        <w:t>讲理明德、治学至善的</w:t>
      </w:r>
      <w:r>
        <w:rPr>
          <w:rFonts w:hint="eastAsia" w:ascii="宋体" w:hAnsi="宋体"/>
          <w:sz w:val="28"/>
          <w:szCs w:val="28"/>
        </w:rPr>
        <w:t>办学理念；以服务为宗旨，以质量求生存”的工作思路。以维护教职工利益，保障教职工合法权益，以教职工、学生的人生幸福和生命质量作为重点。</w:t>
      </w:r>
    </w:p>
    <w:p>
      <w:pPr>
        <w:rPr>
          <w:rFonts w:ascii="宋体" w:hAnsi="宋体"/>
          <w:bCs/>
          <w:color w:val="000000"/>
          <w:sz w:val="28"/>
          <w:szCs w:val="28"/>
        </w:rPr>
      </w:pPr>
      <w:r>
        <w:rPr>
          <w:rFonts w:hint="eastAsia" w:ascii="宋体" w:hAnsi="宋体"/>
          <w:bCs/>
          <w:color w:val="000000"/>
          <w:sz w:val="28"/>
          <w:szCs w:val="28"/>
        </w:rPr>
        <w:t xml:space="preserve">  </w:t>
      </w:r>
      <w:r>
        <w:rPr>
          <w:rFonts w:hint="eastAsia" w:ascii="宋体" w:hAnsi="宋体"/>
          <w:b/>
          <w:bCs w:val="0"/>
          <w:color w:val="000000"/>
          <w:sz w:val="28"/>
          <w:szCs w:val="28"/>
        </w:rPr>
        <w:t>（二）</w:t>
      </w:r>
      <w:r>
        <w:rPr>
          <w:rFonts w:ascii="宋体" w:hAnsi="宋体"/>
          <w:b/>
          <w:bCs w:val="0"/>
          <w:color w:val="000000"/>
          <w:sz w:val="28"/>
          <w:szCs w:val="28"/>
        </w:rPr>
        <w:t>20</w:t>
      </w:r>
      <w:r>
        <w:rPr>
          <w:rFonts w:hint="eastAsia" w:ascii="宋体" w:hAnsi="宋体"/>
          <w:b/>
          <w:bCs w:val="0"/>
          <w:color w:val="000000"/>
          <w:sz w:val="28"/>
          <w:szCs w:val="28"/>
          <w:lang w:val="en-US" w:eastAsia="zh-CN"/>
        </w:rPr>
        <w:t>20</w:t>
      </w:r>
      <w:r>
        <w:rPr>
          <w:rFonts w:hint="eastAsia" w:ascii="宋体" w:hAnsi="宋体"/>
          <w:b/>
          <w:bCs w:val="0"/>
          <w:color w:val="000000"/>
          <w:sz w:val="28"/>
          <w:szCs w:val="28"/>
        </w:rPr>
        <w:t>年重点工作完成情况。</w:t>
      </w:r>
      <w:bookmarkEnd w:id="18"/>
      <w:bookmarkEnd w:id="19"/>
    </w:p>
    <w:p>
      <w:pPr>
        <w:ind w:firstLine="560" w:firstLineChars="200"/>
        <w:rPr>
          <w:rFonts w:ascii="宋体" w:hAnsi="宋体"/>
          <w:sz w:val="28"/>
          <w:szCs w:val="28"/>
        </w:rPr>
      </w:pPr>
      <w:r>
        <w:rPr>
          <w:rFonts w:hint="eastAsia" w:ascii="宋体" w:hAnsi="宋体"/>
          <w:sz w:val="28"/>
          <w:szCs w:val="28"/>
        </w:rPr>
        <w:t>1、按质按量完成教学任务。</w:t>
      </w:r>
    </w:p>
    <w:p>
      <w:pPr>
        <w:ind w:firstLine="560" w:firstLineChars="200"/>
        <w:rPr>
          <w:rFonts w:ascii="宋体" w:hAnsi="宋体"/>
          <w:sz w:val="28"/>
          <w:szCs w:val="28"/>
        </w:rPr>
      </w:pPr>
      <w:r>
        <w:rPr>
          <w:rFonts w:hint="eastAsia" w:ascii="宋体" w:hAnsi="宋体"/>
          <w:sz w:val="28"/>
          <w:szCs w:val="28"/>
        </w:rPr>
        <w:t>2、学生入学率达100%。</w:t>
      </w:r>
    </w:p>
    <w:p>
      <w:pPr>
        <w:ind w:firstLine="560" w:firstLineChars="200"/>
        <w:rPr>
          <w:rFonts w:hint="eastAsia" w:ascii="宋体" w:hAnsi="宋体"/>
          <w:sz w:val="28"/>
          <w:szCs w:val="28"/>
        </w:rPr>
      </w:pPr>
      <w:r>
        <w:rPr>
          <w:rFonts w:hint="eastAsia" w:ascii="宋体" w:hAnsi="宋体"/>
          <w:sz w:val="28"/>
          <w:szCs w:val="28"/>
        </w:rPr>
        <w:t>3、本年度学校全面贯彻党的教育方针政策，加强教师队伍建设，强化党的建设，促进义务教育均衡发展建设，注重学生素质能力的培养，大力提升教学教学质量，办人民满意教育。</w:t>
      </w:r>
    </w:p>
    <w:p>
      <w:pPr>
        <w:rPr>
          <w:rStyle w:val="25"/>
          <w:rFonts w:ascii="黑体" w:hAnsi="黑体" w:eastAsia="黑体" w:cs="Times New Roman"/>
          <w:b w:val="0"/>
          <w:bCs w:val="0"/>
        </w:rPr>
      </w:pPr>
      <w:bookmarkStart w:id="20" w:name="_Toc15377200"/>
      <w:bookmarkStart w:id="21" w:name="_Toc15396601"/>
      <w:r>
        <w:rPr>
          <w:rFonts w:hint="eastAsia" w:ascii="黑体" w:hAnsi="黑体" w:eastAsia="黑体"/>
          <w:sz w:val="32"/>
          <w:szCs w:val="32"/>
        </w:rPr>
        <w:t>二</w:t>
      </w:r>
      <w:r>
        <w:rPr>
          <w:rFonts w:hint="eastAsia" w:ascii="黑体" w:hAnsi="黑体" w:eastAsia="黑体"/>
          <w:color w:val="000000"/>
          <w:sz w:val="32"/>
          <w:szCs w:val="32"/>
        </w:rPr>
        <w:t>、机</w:t>
      </w:r>
      <w:r>
        <w:rPr>
          <w:rStyle w:val="25"/>
          <w:rFonts w:hint="eastAsia" w:ascii="黑体" w:hAnsi="黑体" w:eastAsia="黑体"/>
        </w:rPr>
        <w:t>构设置</w:t>
      </w:r>
      <w:bookmarkEnd w:id="20"/>
      <w:bookmarkEnd w:id="21"/>
    </w:p>
    <w:p>
      <w:pPr>
        <w:rPr>
          <w:rFonts w:ascii="宋体" w:hAnsi="宋体"/>
          <w:sz w:val="28"/>
          <w:szCs w:val="28"/>
        </w:rPr>
      </w:pPr>
      <w:r>
        <w:rPr>
          <w:rFonts w:hint="eastAsia" w:ascii="宋体" w:hAnsi="宋体"/>
          <w:sz w:val="28"/>
          <w:szCs w:val="28"/>
        </w:rPr>
        <w:t xml:space="preserve">    讲治小学是一所农村中心小学，属一级预算单位。下辖6所村级小学,创办于1913年，位于讲治镇镇龙寺村1组，现实有编制数</w:t>
      </w:r>
      <w:r>
        <w:rPr>
          <w:rFonts w:hint="eastAsia" w:ascii="宋体" w:hAnsi="宋体"/>
          <w:sz w:val="28"/>
          <w:szCs w:val="28"/>
          <w:lang w:val="en-US" w:eastAsia="zh-CN"/>
        </w:rPr>
        <w:t>78</w:t>
      </w:r>
      <w:r>
        <w:rPr>
          <w:rFonts w:hint="eastAsia" w:ascii="宋体" w:hAnsi="宋体"/>
          <w:sz w:val="28"/>
          <w:szCs w:val="28"/>
        </w:rPr>
        <w:t>人，在编在职教职工</w:t>
      </w:r>
      <w:r>
        <w:rPr>
          <w:rFonts w:hint="eastAsia" w:ascii="宋体" w:hAnsi="宋体"/>
          <w:sz w:val="28"/>
          <w:szCs w:val="28"/>
          <w:lang w:val="en-US" w:eastAsia="zh-CN"/>
        </w:rPr>
        <w:t>78</w:t>
      </w:r>
      <w:r>
        <w:rPr>
          <w:rFonts w:hint="eastAsia" w:ascii="宋体" w:hAnsi="宋体"/>
          <w:sz w:val="28"/>
          <w:szCs w:val="28"/>
        </w:rPr>
        <w:t>，退休教职工</w:t>
      </w:r>
      <w:r>
        <w:rPr>
          <w:rFonts w:hint="eastAsia" w:ascii="宋体" w:hAnsi="宋体"/>
          <w:sz w:val="28"/>
          <w:szCs w:val="28"/>
          <w:lang w:val="en-US" w:eastAsia="zh-CN"/>
        </w:rPr>
        <w:t>70</w:t>
      </w:r>
      <w:r>
        <w:rPr>
          <w:rFonts w:hint="eastAsia" w:ascii="宋体" w:hAnsi="宋体"/>
          <w:sz w:val="28"/>
          <w:szCs w:val="28"/>
        </w:rPr>
        <w:t>人，</w:t>
      </w:r>
      <w:r>
        <w:rPr>
          <w:rFonts w:hint="eastAsia" w:ascii="宋体" w:hAnsi="宋体"/>
          <w:sz w:val="28"/>
          <w:szCs w:val="28"/>
          <w:lang w:val="en-US" w:eastAsia="zh-CN"/>
        </w:rPr>
        <w:t>小学教学班28个，</w:t>
      </w:r>
      <w:r>
        <w:rPr>
          <w:rFonts w:hint="eastAsia" w:ascii="宋体" w:hAnsi="宋体"/>
          <w:sz w:val="28"/>
          <w:szCs w:val="28"/>
        </w:rPr>
        <w:t>学生数</w:t>
      </w:r>
      <w:r>
        <w:rPr>
          <w:rFonts w:hint="eastAsia" w:ascii="宋体" w:hAnsi="宋体"/>
          <w:sz w:val="28"/>
          <w:szCs w:val="28"/>
          <w:lang w:val="en-US" w:eastAsia="zh-CN"/>
        </w:rPr>
        <w:t>1110</w:t>
      </w:r>
      <w:r>
        <w:rPr>
          <w:rFonts w:hint="eastAsia" w:ascii="宋体" w:hAnsi="宋体"/>
          <w:sz w:val="28"/>
          <w:szCs w:val="28"/>
        </w:rPr>
        <w:t>人。</w:t>
      </w:r>
    </w:p>
    <w:p>
      <w:pPr>
        <w:pStyle w:val="5"/>
        <w:adjustRightInd w:val="0"/>
        <w:snapToGrid w:val="0"/>
        <w:spacing w:before="93" w:line="600" w:lineRule="exact"/>
        <w:ind w:firstLine="588" w:firstLineChars="210"/>
        <w:rPr>
          <w:rFonts w:hint="eastAsia" w:ascii="宋体" w:hAnsi="宋体" w:eastAsia="宋体" w:cs="宋体"/>
          <w:sz w:val="28"/>
          <w:szCs w:val="28"/>
        </w:rPr>
      </w:pPr>
      <w:bookmarkStart w:id="22" w:name="_Toc15396602"/>
      <w:bookmarkStart w:id="23" w:name="_Toc15377204"/>
      <w:r>
        <w:rPr>
          <w:rFonts w:hint="eastAsia" w:ascii="宋体" w:hAnsi="宋体" w:eastAsia="宋体" w:cs="宋体"/>
          <w:sz w:val="28"/>
          <w:szCs w:val="28"/>
        </w:rPr>
        <w:t>内设机构</w:t>
      </w:r>
      <w:r>
        <w:rPr>
          <w:rFonts w:hint="eastAsia" w:ascii="宋体" w:hAnsi="宋体" w:eastAsia="宋体" w:cs="宋体"/>
          <w:sz w:val="28"/>
          <w:szCs w:val="28"/>
          <w:lang w:val="en-US" w:eastAsia="zh-CN"/>
        </w:rPr>
        <w:t>6</w:t>
      </w:r>
      <w:r>
        <w:rPr>
          <w:rFonts w:hint="eastAsia" w:ascii="宋体" w:hAnsi="宋体" w:eastAsia="宋体" w:cs="宋体"/>
          <w:sz w:val="28"/>
          <w:szCs w:val="28"/>
        </w:rPr>
        <w:t>个，包括：办公室、教务处、政教处、</w:t>
      </w:r>
      <w:r>
        <w:rPr>
          <w:rFonts w:hint="eastAsia" w:ascii="宋体" w:hAnsi="宋体" w:eastAsia="宋体" w:cs="宋体"/>
          <w:sz w:val="28"/>
          <w:szCs w:val="28"/>
          <w:lang w:val="en-US" w:eastAsia="zh-CN"/>
        </w:rPr>
        <w:t>财务室</w:t>
      </w:r>
      <w:r>
        <w:rPr>
          <w:rFonts w:hint="eastAsia" w:ascii="宋体" w:hAnsi="宋体" w:eastAsia="宋体" w:cs="宋体"/>
          <w:sz w:val="28"/>
          <w:szCs w:val="28"/>
        </w:rPr>
        <w:t>、工会办公室</w:t>
      </w:r>
      <w:r>
        <w:rPr>
          <w:rFonts w:hint="eastAsia" w:ascii="宋体" w:hAnsi="宋体" w:eastAsia="宋体" w:cs="宋体"/>
          <w:sz w:val="28"/>
          <w:szCs w:val="28"/>
          <w:lang w:val="en-US" w:eastAsia="zh-CN"/>
        </w:rPr>
        <w:t>和</w:t>
      </w:r>
      <w:r>
        <w:rPr>
          <w:rFonts w:hint="eastAsia" w:ascii="宋体" w:hAnsi="宋体" w:eastAsia="宋体" w:cs="宋体"/>
          <w:sz w:val="28"/>
          <w:szCs w:val="28"/>
        </w:rPr>
        <w:t>团队办公室。</w:t>
      </w:r>
    </w:p>
    <w:p>
      <w:pPr>
        <w:pStyle w:val="5"/>
        <w:adjustRightInd w:val="0"/>
        <w:snapToGrid w:val="0"/>
        <w:spacing w:before="93" w:line="600" w:lineRule="exact"/>
        <w:ind w:firstLine="588" w:firstLineChars="210"/>
        <w:rPr>
          <w:rFonts w:ascii="宋体" w:hAnsi="宋体" w:eastAsia="宋体"/>
          <w:color w:val="000000"/>
          <w:sz w:val="28"/>
          <w:szCs w:val="28"/>
        </w:rPr>
      </w:pPr>
      <w:r>
        <w:rPr>
          <w:rFonts w:hint="eastAsia" w:ascii="宋体" w:hAnsi="宋体" w:eastAsia="宋体" w:cs="宋体"/>
          <w:sz w:val="28"/>
          <w:szCs w:val="28"/>
        </w:rPr>
        <w:t>开江县讲治镇中心小学无下</w:t>
      </w:r>
      <w:r>
        <w:rPr>
          <w:rFonts w:hint="eastAsia" w:ascii="宋体" w:hAnsi="宋体" w:eastAsia="宋体"/>
          <w:sz w:val="28"/>
          <w:szCs w:val="28"/>
        </w:rPr>
        <w:t>属二级单位。</w:t>
      </w:r>
    </w:p>
    <w:p>
      <w:pPr>
        <w:widowControl/>
        <w:ind w:firstLine="320" w:firstLineChars="100"/>
        <w:jc w:val="left"/>
        <w:rPr>
          <w:rFonts w:ascii="仿宋" w:hAnsi="仿宋" w:eastAsia="仿宋"/>
          <w:color w:val="FF0000"/>
          <w:sz w:val="32"/>
          <w:szCs w:val="32"/>
        </w:rPr>
      </w:pPr>
    </w:p>
    <w:p>
      <w:pPr>
        <w:widowControl/>
        <w:ind w:firstLine="320" w:firstLineChars="100"/>
        <w:jc w:val="left"/>
        <w:rPr>
          <w:rFonts w:ascii="仿宋" w:hAnsi="仿宋" w:eastAsia="仿宋"/>
          <w:color w:val="FF0000"/>
          <w:sz w:val="32"/>
          <w:szCs w:val="32"/>
        </w:rPr>
      </w:pPr>
    </w:p>
    <w:p>
      <w:pPr>
        <w:widowControl/>
        <w:ind w:firstLine="320" w:firstLineChars="100"/>
        <w:jc w:val="left"/>
        <w:rPr>
          <w:rFonts w:ascii="仿宋" w:hAnsi="仿宋" w:eastAsia="仿宋"/>
          <w:color w:val="FF0000"/>
          <w:sz w:val="32"/>
          <w:szCs w:val="32"/>
        </w:rPr>
      </w:pPr>
    </w:p>
    <w:p>
      <w:pPr>
        <w:widowControl/>
        <w:ind w:firstLine="320" w:firstLineChars="100"/>
        <w:jc w:val="left"/>
        <w:rPr>
          <w:rFonts w:ascii="仿宋" w:hAnsi="仿宋" w:eastAsia="仿宋"/>
          <w:color w:val="FF0000"/>
          <w:sz w:val="32"/>
          <w:szCs w:val="32"/>
        </w:rPr>
      </w:pPr>
    </w:p>
    <w:p>
      <w:pPr>
        <w:widowControl/>
        <w:ind w:firstLine="320" w:firstLineChars="100"/>
        <w:jc w:val="left"/>
        <w:rPr>
          <w:rFonts w:ascii="仿宋" w:hAnsi="仿宋" w:eastAsia="仿宋"/>
          <w:color w:val="FF0000"/>
          <w:sz w:val="32"/>
          <w:szCs w:val="32"/>
        </w:rPr>
      </w:pPr>
    </w:p>
    <w:p>
      <w:pPr>
        <w:widowControl/>
        <w:ind w:firstLine="320" w:firstLineChars="100"/>
        <w:jc w:val="left"/>
        <w:rPr>
          <w:rFonts w:ascii="仿宋" w:hAnsi="仿宋" w:eastAsia="仿宋"/>
          <w:color w:val="FF0000"/>
          <w:sz w:val="32"/>
          <w:szCs w:val="32"/>
        </w:rPr>
      </w:pPr>
    </w:p>
    <w:p>
      <w:pPr>
        <w:widowControl/>
        <w:ind w:firstLine="320" w:firstLineChars="100"/>
        <w:jc w:val="left"/>
        <w:rPr>
          <w:rFonts w:ascii="仿宋" w:hAnsi="仿宋" w:eastAsia="仿宋"/>
          <w:color w:val="FF0000"/>
          <w:sz w:val="32"/>
          <w:szCs w:val="32"/>
        </w:rPr>
      </w:pPr>
    </w:p>
    <w:p>
      <w:pPr>
        <w:widowControl/>
        <w:ind w:firstLine="320" w:firstLineChars="100"/>
        <w:jc w:val="left"/>
        <w:rPr>
          <w:rFonts w:ascii="仿宋" w:hAnsi="仿宋" w:eastAsia="仿宋"/>
          <w:color w:val="FF0000"/>
          <w:sz w:val="32"/>
          <w:szCs w:val="32"/>
        </w:rPr>
      </w:pPr>
    </w:p>
    <w:p>
      <w:pPr>
        <w:widowControl/>
        <w:ind w:firstLine="320" w:firstLineChars="100"/>
        <w:jc w:val="left"/>
        <w:rPr>
          <w:rFonts w:ascii="仿宋" w:hAnsi="仿宋" w:eastAsia="仿宋"/>
          <w:color w:val="FF0000"/>
          <w:sz w:val="32"/>
          <w:szCs w:val="32"/>
        </w:rPr>
      </w:pPr>
    </w:p>
    <w:p>
      <w:pPr>
        <w:widowControl/>
        <w:ind w:firstLine="320" w:firstLineChars="100"/>
        <w:jc w:val="left"/>
        <w:rPr>
          <w:rFonts w:ascii="仿宋" w:hAnsi="仿宋" w:eastAsia="仿宋"/>
          <w:color w:val="FF0000"/>
          <w:sz w:val="32"/>
          <w:szCs w:val="32"/>
        </w:rPr>
      </w:pPr>
    </w:p>
    <w:p>
      <w:pPr>
        <w:widowControl/>
        <w:ind w:firstLine="320" w:firstLineChars="100"/>
        <w:jc w:val="left"/>
        <w:rPr>
          <w:rFonts w:ascii="仿宋" w:hAnsi="仿宋" w:eastAsia="仿宋"/>
          <w:color w:val="FF0000"/>
          <w:sz w:val="32"/>
          <w:szCs w:val="32"/>
        </w:rPr>
      </w:pPr>
    </w:p>
    <w:p>
      <w:pPr>
        <w:widowControl/>
        <w:ind w:firstLine="320" w:firstLineChars="100"/>
        <w:jc w:val="left"/>
        <w:rPr>
          <w:rFonts w:ascii="仿宋" w:hAnsi="仿宋" w:eastAsia="仿宋"/>
          <w:color w:val="FF0000"/>
          <w:sz w:val="32"/>
          <w:szCs w:val="32"/>
        </w:rPr>
      </w:pPr>
    </w:p>
    <w:p>
      <w:pPr>
        <w:widowControl/>
        <w:ind w:firstLine="320" w:firstLineChars="100"/>
        <w:jc w:val="left"/>
        <w:rPr>
          <w:rFonts w:ascii="仿宋" w:hAnsi="仿宋" w:eastAsia="仿宋"/>
          <w:color w:val="FF0000"/>
          <w:sz w:val="32"/>
          <w:szCs w:val="32"/>
        </w:rPr>
      </w:pPr>
    </w:p>
    <w:p>
      <w:pPr>
        <w:widowControl/>
        <w:ind w:firstLine="320" w:firstLineChars="100"/>
        <w:jc w:val="left"/>
        <w:rPr>
          <w:rFonts w:ascii="仿宋" w:hAnsi="仿宋" w:eastAsia="仿宋"/>
          <w:color w:val="FF0000"/>
          <w:sz w:val="32"/>
          <w:szCs w:val="32"/>
        </w:rPr>
      </w:pPr>
    </w:p>
    <w:p>
      <w:pPr>
        <w:widowControl/>
        <w:ind w:firstLine="320" w:firstLineChars="100"/>
        <w:jc w:val="left"/>
        <w:rPr>
          <w:rFonts w:ascii="仿宋" w:hAnsi="仿宋" w:eastAsia="仿宋"/>
          <w:color w:val="FF0000"/>
          <w:sz w:val="32"/>
          <w:szCs w:val="32"/>
        </w:rPr>
      </w:pPr>
    </w:p>
    <w:p>
      <w:pPr>
        <w:widowControl/>
        <w:ind w:firstLine="320" w:firstLineChars="100"/>
        <w:jc w:val="left"/>
        <w:rPr>
          <w:rFonts w:ascii="仿宋" w:hAnsi="仿宋" w:eastAsia="仿宋"/>
          <w:color w:val="FF0000"/>
          <w:sz w:val="32"/>
          <w:szCs w:val="32"/>
        </w:rPr>
      </w:pPr>
    </w:p>
    <w:p>
      <w:pPr>
        <w:widowControl/>
        <w:ind w:firstLine="320" w:firstLineChars="100"/>
        <w:jc w:val="left"/>
        <w:rPr>
          <w:rFonts w:ascii="仿宋" w:hAnsi="仿宋" w:eastAsia="仿宋"/>
          <w:color w:val="FF0000"/>
          <w:sz w:val="32"/>
          <w:szCs w:val="32"/>
        </w:rPr>
      </w:pPr>
    </w:p>
    <w:p>
      <w:pPr>
        <w:widowControl/>
        <w:ind w:firstLine="320" w:firstLineChars="100"/>
        <w:jc w:val="left"/>
        <w:rPr>
          <w:rFonts w:ascii="仿宋" w:hAnsi="仿宋" w:eastAsia="仿宋"/>
          <w:color w:val="FF0000"/>
          <w:sz w:val="32"/>
          <w:szCs w:val="32"/>
        </w:rPr>
      </w:pPr>
    </w:p>
    <w:p>
      <w:pPr>
        <w:widowControl/>
        <w:ind w:firstLine="320" w:firstLineChars="100"/>
        <w:jc w:val="left"/>
        <w:rPr>
          <w:rFonts w:ascii="仿宋" w:hAnsi="仿宋" w:eastAsia="仿宋"/>
          <w:color w:val="FF0000"/>
          <w:sz w:val="32"/>
          <w:szCs w:val="32"/>
        </w:rPr>
      </w:pPr>
    </w:p>
    <w:p>
      <w:pPr>
        <w:widowControl/>
        <w:ind w:firstLine="442" w:firstLineChars="100"/>
        <w:jc w:val="left"/>
        <w:rPr>
          <w:rStyle w:val="24"/>
          <w:rFonts w:ascii="仿宋" w:hAnsi="仿宋" w:eastAsia="仿宋"/>
          <w:b w:val="0"/>
          <w:bCs w:val="0"/>
          <w:color w:val="FF0000"/>
          <w:kern w:val="0"/>
        </w:rPr>
      </w:pPr>
      <w:r>
        <w:rPr>
          <w:rFonts w:hint="eastAsia" w:ascii="黑体" w:hAnsi="黑体" w:eastAsia="黑体"/>
          <w:b/>
          <w:color w:val="000000"/>
          <w:sz w:val="44"/>
          <w:szCs w:val="44"/>
        </w:rPr>
        <w:t>第二部分</w:t>
      </w:r>
      <w:r>
        <w:rPr>
          <w:rStyle w:val="24"/>
          <w:rFonts w:hint="eastAsia" w:ascii="黑体" w:hAnsi="黑体" w:eastAsia="黑体"/>
        </w:rPr>
        <w:t>20</w:t>
      </w:r>
      <w:r>
        <w:rPr>
          <w:rStyle w:val="24"/>
          <w:rFonts w:hint="eastAsia" w:ascii="黑体" w:hAnsi="黑体" w:eastAsia="黑体"/>
          <w:lang w:val="en-US" w:eastAsia="zh-CN"/>
        </w:rPr>
        <w:t>20</w:t>
      </w:r>
      <w:r>
        <w:rPr>
          <w:rStyle w:val="24"/>
          <w:rFonts w:hint="eastAsia" w:ascii="黑体" w:hAnsi="黑体" w:eastAsia="黑体"/>
        </w:rPr>
        <w:t>年度部门决算情况说明</w:t>
      </w:r>
      <w:bookmarkEnd w:id="22"/>
      <w:bookmarkEnd w:id="23"/>
    </w:p>
    <w:p>
      <w:pPr>
        <w:spacing w:line="600" w:lineRule="exact"/>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一、收</w:t>
      </w:r>
      <w:r>
        <w:rPr>
          <w:rStyle w:val="25"/>
          <w:rFonts w:hint="eastAsia" w:ascii="黑体" w:hAnsi="黑体" w:eastAsia="黑体"/>
          <w:b w:val="0"/>
        </w:rPr>
        <w:t>入支出决算总体情况说明</w:t>
      </w:r>
      <w:bookmarkEnd w:id="24"/>
      <w:bookmarkEnd w:id="25"/>
    </w:p>
    <w:p>
      <w:pPr>
        <w:ind w:firstLine="640" w:firstLineChars="200"/>
        <w:rPr>
          <w:rFonts w:ascii="宋体" w:hAnsi="宋体"/>
          <w:sz w:val="28"/>
          <w:szCs w:val="28"/>
        </w:rPr>
      </w:pPr>
      <w:r>
        <w:rPr>
          <w:rFonts w:hint="eastAsia" w:ascii="仿宋" w:hAnsi="仿宋" w:eastAsia="仿宋"/>
          <w:color w:val="FF0000"/>
          <w:sz w:val="32"/>
          <w:szCs w:val="32"/>
        </w:rPr>
        <w:t xml:space="preserve">   </w:t>
      </w:r>
      <w:r>
        <w:rPr>
          <w:rFonts w:ascii="宋体" w:hAnsi="宋体"/>
          <w:sz w:val="28"/>
          <w:szCs w:val="28"/>
        </w:rPr>
        <w:t>20</w:t>
      </w:r>
      <w:r>
        <w:rPr>
          <w:rFonts w:hint="eastAsia" w:ascii="宋体" w:hAnsi="宋体"/>
          <w:sz w:val="28"/>
          <w:szCs w:val="28"/>
          <w:lang w:val="en-US" w:eastAsia="zh-CN"/>
        </w:rPr>
        <w:t>20</w:t>
      </w:r>
      <w:r>
        <w:rPr>
          <w:rFonts w:ascii="宋体" w:hAnsi="宋体"/>
          <w:sz w:val="28"/>
          <w:szCs w:val="28"/>
        </w:rPr>
        <w:t>年</w:t>
      </w:r>
      <w:r>
        <w:rPr>
          <w:rFonts w:hint="eastAsia" w:ascii="宋体" w:hAnsi="宋体"/>
          <w:sz w:val="28"/>
          <w:szCs w:val="28"/>
        </w:rPr>
        <w:t>学校本年</w:t>
      </w:r>
      <w:r>
        <w:rPr>
          <w:rFonts w:ascii="宋体" w:hAnsi="宋体"/>
          <w:sz w:val="28"/>
          <w:szCs w:val="28"/>
        </w:rPr>
        <w:t>收入</w:t>
      </w:r>
      <w:r>
        <w:rPr>
          <w:rFonts w:hint="eastAsia" w:ascii="宋体" w:hAnsi="宋体"/>
          <w:sz w:val="28"/>
          <w:szCs w:val="28"/>
        </w:rPr>
        <w:t>合计</w:t>
      </w:r>
      <w:r>
        <w:rPr>
          <w:rFonts w:hint="eastAsia" w:ascii="宋体" w:hAnsi="宋体"/>
          <w:sz w:val="28"/>
          <w:szCs w:val="28"/>
          <w:lang w:val="en-US" w:eastAsia="zh-CN"/>
        </w:rPr>
        <w:t>1024.70</w:t>
      </w:r>
      <w:r>
        <w:rPr>
          <w:rFonts w:ascii="宋体" w:hAnsi="宋体"/>
          <w:sz w:val="28"/>
          <w:szCs w:val="28"/>
        </w:rPr>
        <w:t>万元，</w:t>
      </w:r>
      <w:r>
        <w:rPr>
          <w:rFonts w:hint="eastAsia" w:ascii="宋体" w:hAnsi="宋体"/>
          <w:sz w:val="28"/>
          <w:szCs w:val="28"/>
        </w:rPr>
        <w:t>其中：一般公共预算财政拨款收入</w:t>
      </w:r>
      <w:r>
        <w:rPr>
          <w:rFonts w:hint="eastAsia" w:ascii="宋体" w:hAnsi="宋体"/>
          <w:sz w:val="28"/>
          <w:szCs w:val="28"/>
          <w:lang w:val="en-US" w:eastAsia="zh-CN"/>
        </w:rPr>
        <w:t>1019.70</w:t>
      </w:r>
      <w:r>
        <w:rPr>
          <w:rFonts w:hint="eastAsia" w:ascii="宋体" w:hAnsi="宋体"/>
          <w:sz w:val="28"/>
          <w:szCs w:val="28"/>
        </w:rPr>
        <w:t>万元，占99.</w:t>
      </w:r>
      <w:r>
        <w:rPr>
          <w:rFonts w:hint="eastAsia" w:ascii="宋体" w:hAnsi="宋体"/>
          <w:sz w:val="28"/>
          <w:szCs w:val="28"/>
          <w:lang w:val="en-US" w:eastAsia="zh-CN"/>
        </w:rPr>
        <w:t>52</w:t>
      </w:r>
      <w:r>
        <w:rPr>
          <w:rFonts w:hint="eastAsia" w:ascii="宋体" w:hAnsi="宋体"/>
          <w:sz w:val="28"/>
          <w:szCs w:val="28"/>
        </w:rPr>
        <w:t>%；政府性基金预算财政拨款收入5万元，占0.</w:t>
      </w:r>
      <w:r>
        <w:rPr>
          <w:rFonts w:hint="eastAsia" w:ascii="宋体" w:hAnsi="宋体"/>
          <w:sz w:val="28"/>
          <w:szCs w:val="28"/>
          <w:lang w:val="en-US" w:eastAsia="zh-CN"/>
        </w:rPr>
        <w:t>48</w:t>
      </w:r>
      <w:r>
        <w:rPr>
          <w:rFonts w:hint="eastAsia" w:ascii="宋体" w:hAnsi="宋体"/>
          <w:sz w:val="28"/>
          <w:szCs w:val="28"/>
        </w:rPr>
        <w:t>%；国有资本经营预算财政拨款收入0万元，占0%；事业收入0万元，占0%；经营收入0万元，占0%；附属单位上缴收入0万元，占0%；其他收入0万元，占0%。</w:t>
      </w:r>
    </w:p>
    <w:p>
      <w:pPr>
        <w:ind w:firstLine="560" w:firstLineChars="200"/>
        <w:rPr>
          <w:rFonts w:ascii="宋体" w:hAnsi="宋体"/>
          <w:sz w:val="28"/>
          <w:szCs w:val="28"/>
        </w:rPr>
      </w:pPr>
      <w:r>
        <w:rPr>
          <w:rFonts w:ascii="宋体" w:hAnsi="宋体"/>
          <w:sz w:val="28"/>
          <w:szCs w:val="28"/>
        </w:rPr>
        <w:t>20</w:t>
      </w:r>
      <w:r>
        <w:rPr>
          <w:rFonts w:hint="eastAsia" w:ascii="宋体" w:hAnsi="宋体"/>
          <w:sz w:val="28"/>
          <w:szCs w:val="28"/>
          <w:lang w:val="en-US" w:eastAsia="zh-CN"/>
        </w:rPr>
        <w:t>20</w:t>
      </w:r>
      <w:r>
        <w:rPr>
          <w:rFonts w:ascii="宋体" w:hAnsi="宋体"/>
          <w:sz w:val="28"/>
          <w:szCs w:val="28"/>
        </w:rPr>
        <w:t>年</w:t>
      </w:r>
      <w:r>
        <w:rPr>
          <w:rFonts w:hint="eastAsia" w:ascii="宋体" w:hAnsi="宋体"/>
          <w:sz w:val="28"/>
          <w:szCs w:val="28"/>
        </w:rPr>
        <w:t>学校本年</w:t>
      </w:r>
      <w:r>
        <w:rPr>
          <w:rFonts w:ascii="宋体" w:hAnsi="宋体"/>
          <w:sz w:val="28"/>
          <w:szCs w:val="28"/>
        </w:rPr>
        <w:t>支出</w:t>
      </w:r>
      <w:r>
        <w:rPr>
          <w:rFonts w:hint="eastAsia" w:ascii="宋体" w:hAnsi="宋体"/>
          <w:sz w:val="28"/>
          <w:szCs w:val="28"/>
        </w:rPr>
        <w:t>合计</w:t>
      </w:r>
      <w:r>
        <w:rPr>
          <w:rFonts w:hint="eastAsia" w:ascii="宋体" w:hAnsi="宋体"/>
          <w:sz w:val="28"/>
          <w:szCs w:val="28"/>
          <w:lang w:val="en-US" w:eastAsia="zh-CN"/>
        </w:rPr>
        <w:t>1024.70</w:t>
      </w:r>
      <w:r>
        <w:rPr>
          <w:rFonts w:ascii="宋体" w:hAnsi="宋体"/>
          <w:sz w:val="28"/>
          <w:szCs w:val="28"/>
        </w:rPr>
        <w:t>万元，</w:t>
      </w:r>
      <w:r>
        <w:rPr>
          <w:rFonts w:hint="eastAsia" w:ascii="宋体" w:hAnsi="宋体"/>
          <w:sz w:val="28"/>
          <w:szCs w:val="28"/>
        </w:rPr>
        <w:t>其中：基本支出</w:t>
      </w:r>
      <w:r>
        <w:rPr>
          <w:rFonts w:hint="eastAsia" w:ascii="宋体" w:hAnsi="宋体"/>
          <w:sz w:val="28"/>
          <w:szCs w:val="28"/>
          <w:lang w:val="en-US" w:eastAsia="zh-CN"/>
        </w:rPr>
        <w:t>987.25</w:t>
      </w:r>
      <w:r>
        <w:rPr>
          <w:rFonts w:hint="eastAsia" w:ascii="宋体" w:hAnsi="宋体"/>
          <w:sz w:val="28"/>
          <w:szCs w:val="28"/>
        </w:rPr>
        <w:t>万元，占</w:t>
      </w:r>
      <w:r>
        <w:rPr>
          <w:rFonts w:hint="eastAsia" w:ascii="宋体" w:hAnsi="宋体"/>
          <w:sz w:val="28"/>
          <w:szCs w:val="28"/>
          <w:lang w:val="en-US" w:eastAsia="zh-CN"/>
        </w:rPr>
        <w:t>96.35</w:t>
      </w:r>
      <w:r>
        <w:rPr>
          <w:rFonts w:hint="eastAsia" w:ascii="宋体" w:hAnsi="宋体"/>
          <w:sz w:val="28"/>
          <w:szCs w:val="28"/>
        </w:rPr>
        <w:t>%；项目支出</w:t>
      </w:r>
      <w:r>
        <w:rPr>
          <w:rFonts w:hint="eastAsia" w:ascii="宋体" w:hAnsi="宋体"/>
          <w:sz w:val="28"/>
          <w:szCs w:val="28"/>
          <w:lang w:val="en-US" w:eastAsia="zh-CN"/>
        </w:rPr>
        <w:t>37.45</w:t>
      </w:r>
      <w:r>
        <w:rPr>
          <w:rFonts w:hint="eastAsia" w:ascii="宋体" w:hAnsi="宋体"/>
          <w:sz w:val="28"/>
          <w:szCs w:val="28"/>
        </w:rPr>
        <w:t>万元，占</w:t>
      </w:r>
      <w:r>
        <w:rPr>
          <w:rFonts w:hint="eastAsia" w:ascii="宋体" w:hAnsi="宋体"/>
          <w:sz w:val="28"/>
          <w:szCs w:val="28"/>
          <w:lang w:val="en-US" w:eastAsia="zh-CN"/>
        </w:rPr>
        <w:t>3.65</w:t>
      </w:r>
      <w:r>
        <w:rPr>
          <w:rFonts w:hint="eastAsia" w:ascii="宋体" w:hAnsi="宋体"/>
          <w:sz w:val="28"/>
          <w:szCs w:val="28"/>
        </w:rPr>
        <w:t>%；上缴上级支出0万元，占0%；经营支出0万元，占0%；对附属单位补助支出0万元，占0%。</w:t>
      </w:r>
    </w:p>
    <w:p>
      <w:pPr>
        <w:ind w:firstLine="560" w:firstLineChars="200"/>
        <w:rPr>
          <w:rFonts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年度收入总计</w:t>
      </w:r>
      <w:r>
        <w:rPr>
          <w:rFonts w:hint="eastAsia" w:ascii="宋体" w:hAnsi="宋体"/>
          <w:sz w:val="28"/>
          <w:szCs w:val="28"/>
          <w:lang w:val="en-US" w:eastAsia="zh-CN"/>
        </w:rPr>
        <w:t>1024.70</w:t>
      </w:r>
      <w:r>
        <w:rPr>
          <w:rFonts w:hint="eastAsia" w:ascii="宋体" w:hAnsi="宋体"/>
          <w:sz w:val="28"/>
          <w:szCs w:val="28"/>
        </w:rPr>
        <w:t>万元，支出总计</w:t>
      </w:r>
      <w:r>
        <w:rPr>
          <w:rFonts w:hint="eastAsia" w:ascii="宋体" w:hAnsi="宋体"/>
          <w:sz w:val="28"/>
          <w:szCs w:val="28"/>
          <w:lang w:val="en-US" w:eastAsia="zh-CN"/>
        </w:rPr>
        <w:t>1024.70</w:t>
      </w:r>
      <w:r>
        <w:rPr>
          <w:rFonts w:hint="eastAsia" w:ascii="宋体" w:hAnsi="宋体"/>
          <w:sz w:val="28"/>
          <w:szCs w:val="28"/>
        </w:rPr>
        <w:t>万元。与201</w:t>
      </w:r>
      <w:r>
        <w:rPr>
          <w:rFonts w:hint="eastAsia" w:ascii="宋体" w:hAnsi="宋体"/>
          <w:sz w:val="28"/>
          <w:szCs w:val="28"/>
          <w:lang w:val="en-US" w:eastAsia="zh-CN"/>
        </w:rPr>
        <w:t>9</w:t>
      </w:r>
      <w:r>
        <w:rPr>
          <w:rFonts w:hint="eastAsia" w:ascii="宋体" w:hAnsi="宋体"/>
          <w:sz w:val="28"/>
          <w:szCs w:val="28"/>
        </w:rPr>
        <w:t>年相比，收入</w:t>
      </w:r>
      <w:r>
        <w:rPr>
          <w:rFonts w:hint="eastAsia" w:ascii="宋体" w:hAnsi="宋体"/>
          <w:sz w:val="28"/>
          <w:szCs w:val="28"/>
          <w:lang w:val="en-US" w:eastAsia="zh-CN"/>
        </w:rPr>
        <w:t>减少678.72</w:t>
      </w:r>
      <w:r>
        <w:rPr>
          <w:rFonts w:hint="eastAsia" w:ascii="宋体" w:hAnsi="宋体"/>
          <w:sz w:val="28"/>
          <w:szCs w:val="28"/>
        </w:rPr>
        <w:t>万元，</w:t>
      </w:r>
      <w:r>
        <w:rPr>
          <w:rFonts w:hint="eastAsia" w:ascii="宋体" w:hAnsi="宋体"/>
          <w:sz w:val="28"/>
          <w:szCs w:val="28"/>
          <w:lang w:val="en-US" w:eastAsia="zh-CN"/>
        </w:rPr>
        <w:t>下降39.85</w:t>
      </w:r>
      <w:r>
        <w:rPr>
          <w:rFonts w:hint="eastAsia" w:ascii="宋体" w:hAnsi="宋体"/>
          <w:sz w:val="28"/>
          <w:szCs w:val="28"/>
        </w:rPr>
        <w:t>%，支出减少</w:t>
      </w:r>
      <w:r>
        <w:rPr>
          <w:rFonts w:hint="eastAsia" w:ascii="宋体" w:hAnsi="宋体"/>
          <w:sz w:val="28"/>
          <w:szCs w:val="28"/>
          <w:lang w:val="en-US" w:eastAsia="zh-CN"/>
        </w:rPr>
        <w:t>29.94</w:t>
      </w:r>
      <w:r>
        <w:rPr>
          <w:rFonts w:hint="eastAsia" w:ascii="宋体" w:hAnsi="宋体"/>
          <w:sz w:val="28"/>
          <w:szCs w:val="28"/>
        </w:rPr>
        <w:t>万元，下降</w:t>
      </w:r>
      <w:r>
        <w:rPr>
          <w:rFonts w:hint="eastAsia" w:ascii="宋体" w:hAnsi="宋体"/>
          <w:sz w:val="28"/>
          <w:szCs w:val="28"/>
          <w:lang w:val="en-US" w:eastAsia="zh-CN"/>
        </w:rPr>
        <w:t>2.84</w:t>
      </w:r>
      <w:r>
        <w:rPr>
          <w:rFonts w:hint="eastAsia" w:ascii="宋体" w:hAnsi="宋体"/>
          <w:sz w:val="28"/>
          <w:szCs w:val="28"/>
        </w:rPr>
        <w:t>%，主要变动原因是基本支出、项目支出减少。</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spacing w:line="600" w:lineRule="exact"/>
        <w:ind w:firstLine="2240" w:firstLineChars="700"/>
        <w:rPr>
          <w:rFonts w:ascii="仿宋" w:hAnsi="仿宋" w:eastAsia="仿宋"/>
          <w:color w:val="000000" w:themeColor="text1"/>
          <w:sz w:val="32"/>
          <w:szCs w:val="32"/>
        </w:rPr>
      </w:pPr>
      <w:r>
        <w:rPr>
          <w:rFonts w:hint="eastAsia" w:ascii="宋体" w:hAnsi="宋体"/>
          <w:color w:val="000000" w:themeColor="text1"/>
          <w:sz w:val="32"/>
          <w:szCs w:val="32"/>
        </w:rPr>
        <w:t>收、支决算总计变动情况图</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drawing>
          <wp:anchor distT="0" distB="0" distL="114300" distR="114300" simplePos="0" relativeHeight="251664384" behindDoc="0" locked="0" layoutInCell="1" allowOverlap="1">
            <wp:simplePos x="0" y="0"/>
            <wp:positionH relativeFrom="column">
              <wp:posOffset>226060</wp:posOffset>
            </wp:positionH>
            <wp:positionV relativeFrom="paragraph">
              <wp:posOffset>18415</wp:posOffset>
            </wp:positionV>
            <wp:extent cx="5278755" cy="3009900"/>
            <wp:effectExtent l="4445" t="4445" r="12700" b="14605"/>
            <wp:wrapNone/>
            <wp:docPr id="2"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pStyle w:val="23"/>
        <w:spacing w:line="600" w:lineRule="exact"/>
        <w:ind w:left="1360" w:firstLine="0" w:firstLineChars="0"/>
        <w:outlineLvl w:val="1"/>
        <w:rPr>
          <w:rFonts w:ascii="黑体" w:hAnsi="黑体" w:eastAsia="黑体"/>
          <w:color w:val="000000"/>
          <w:sz w:val="32"/>
          <w:szCs w:val="32"/>
        </w:rPr>
      </w:pPr>
      <w:bookmarkStart w:id="26" w:name="_Toc15377206"/>
      <w:bookmarkStart w:id="27" w:name="_Toc15396604"/>
    </w:p>
    <w:p>
      <w:pPr>
        <w:pStyle w:val="23"/>
        <w:spacing w:line="600" w:lineRule="exact"/>
        <w:ind w:left="1360" w:firstLine="0" w:firstLineChars="0"/>
        <w:outlineLvl w:val="1"/>
        <w:rPr>
          <w:rFonts w:ascii="黑体" w:hAnsi="黑体" w:eastAsia="黑体"/>
          <w:color w:val="000000"/>
          <w:sz w:val="32"/>
          <w:szCs w:val="32"/>
        </w:rPr>
      </w:pPr>
    </w:p>
    <w:p>
      <w:pPr>
        <w:pStyle w:val="23"/>
        <w:spacing w:line="600" w:lineRule="exact"/>
        <w:ind w:left="1360" w:firstLine="0" w:firstLineChars="0"/>
        <w:outlineLvl w:val="1"/>
        <w:rPr>
          <w:rFonts w:ascii="黑体" w:hAnsi="黑体" w:eastAsia="黑体"/>
          <w:color w:val="000000"/>
          <w:sz w:val="32"/>
          <w:szCs w:val="32"/>
        </w:rPr>
      </w:pPr>
    </w:p>
    <w:p>
      <w:pPr>
        <w:spacing w:line="600" w:lineRule="exact"/>
        <w:outlineLvl w:val="1"/>
        <w:rPr>
          <w:rStyle w:val="25"/>
          <w:rFonts w:ascii="黑体" w:hAnsi="黑体" w:eastAsia="黑体"/>
          <w:b w:val="0"/>
        </w:rPr>
      </w:pPr>
      <w:r>
        <w:rPr>
          <w:rFonts w:hint="eastAsia" w:ascii="黑体" w:hAnsi="黑体" w:eastAsia="黑体"/>
          <w:color w:val="000000"/>
          <w:sz w:val="32"/>
          <w:szCs w:val="32"/>
        </w:rPr>
        <w:t>二、收</w:t>
      </w:r>
      <w:r>
        <w:rPr>
          <w:rStyle w:val="25"/>
          <w:rFonts w:hint="eastAsia" w:ascii="黑体" w:hAnsi="黑体" w:eastAsia="黑体"/>
          <w:b w:val="0"/>
        </w:rPr>
        <w:t>入决算情况说明</w:t>
      </w:r>
      <w:bookmarkEnd w:id="26"/>
      <w:bookmarkEnd w:id="27"/>
    </w:p>
    <w:p>
      <w:pPr>
        <w:ind w:firstLine="560" w:firstLineChars="200"/>
        <w:rPr>
          <w:rFonts w:ascii="宋体" w:hAnsi="宋体"/>
          <w:sz w:val="28"/>
          <w:szCs w:val="28"/>
        </w:rPr>
      </w:pPr>
      <w:r>
        <w:rPr>
          <w:rFonts w:ascii="宋体" w:hAnsi="宋体"/>
          <w:sz w:val="28"/>
          <w:szCs w:val="28"/>
        </w:rPr>
        <w:t>20</w:t>
      </w:r>
      <w:r>
        <w:rPr>
          <w:rFonts w:hint="eastAsia" w:ascii="宋体" w:hAnsi="宋体"/>
          <w:sz w:val="28"/>
          <w:szCs w:val="28"/>
          <w:lang w:val="en-US" w:eastAsia="zh-CN"/>
        </w:rPr>
        <w:t>20</w:t>
      </w:r>
      <w:r>
        <w:rPr>
          <w:rFonts w:ascii="宋体" w:hAnsi="宋体"/>
          <w:sz w:val="28"/>
          <w:szCs w:val="28"/>
        </w:rPr>
        <w:t>年</w:t>
      </w:r>
      <w:r>
        <w:rPr>
          <w:rFonts w:hint="eastAsia" w:ascii="宋体" w:hAnsi="宋体"/>
          <w:sz w:val="28"/>
          <w:szCs w:val="28"/>
        </w:rPr>
        <w:t>学校本年</w:t>
      </w:r>
      <w:r>
        <w:rPr>
          <w:rFonts w:ascii="宋体" w:hAnsi="宋体"/>
          <w:sz w:val="28"/>
          <w:szCs w:val="28"/>
        </w:rPr>
        <w:t>收入</w:t>
      </w:r>
      <w:r>
        <w:rPr>
          <w:rFonts w:hint="eastAsia" w:ascii="宋体" w:hAnsi="宋体"/>
          <w:sz w:val="28"/>
          <w:szCs w:val="28"/>
        </w:rPr>
        <w:t>合计</w:t>
      </w:r>
      <w:r>
        <w:rPr>
          <w:rFonts w:hint="eastAsia" w:ascii="宋体" w:hAnsi="宋体"/>
          <w:sz w:val="28"/>
          <w:szCs w:val="28"/>
          <w:lang w:val="en-US" w:eastAsia="zh-CN"/>
        </w:rPr>
        <w:t>1024.70</w:t>
      </w:r>
      <w:r>
        <w:rPr>
          <w:rFonts w:ascii="宋体" w:hAnsi="宋体"/>
          <w:sz w:val="28"/>
          <w:szCs w:val="28"/>
        </w:rPr>
        <w:t>万元，</w:t>
      </w:r>
      <w:r>
        <w:rPr>
          <w:rFonts w:hint="eastAsia" w:ascii="宋体" w:hAnsi="宋体"/>
          <w:sz w:val="28"/>
          <w:szCs w:val="28"/>
        </w:rPr>
        <w:t>其中：一般公共预算财政拨款收入</w:t>
      </w:r>
      <w:r>
        <w:rPr>
          <w:rFonts w:hint="eastAsia" w:ascii="宋体" w:hAnsi="宋体"/>
          <w:sz w:val="28"/>
          <w:szCs w:val="28"/>
          <w:lang w:val="en-US" w:eastAsia="zh-CN"/>
        </w:rPr>
        <w:t>1019.70</w:t>
      </w:r>
      <w:r>
        <w:rPr>
          <w:rFonts w:hint="eastAsia" w:ascii="宋体" w:hAnsi="宋体"/>
          <w:sz w:val="28"/>
          <w:szCs w:val="28"/>
        </w:rPr>
        <w:t>万元，占99.</w:t>
      </w:r>
      <w:r>
        <w:rPr>
          <w:rFonts w:hint="eastAsia" w:ascii="宋体" w:hAnsi="宋体"/>
          <w:sz w:val="28"/>
          <w:szCs w:val="28"/>
          <w:lang w:val="en-US" w:eastAsia="zh-CN"/>
        </w:rPr>
        <w:t>52</w:t>
      </w:r>
      <w:r>
        <w:rPr>
          <w:rFonts w:hint="eastAsia" w:ascii="宋体" w:hAnsi="宋体"/>
          <w:sz w:val="28"/>
          <w:szCs w:val="28"/>
        </w:rPr>
        <w:t>%；政府性基金预算财政拨款收入5万元，占0.</w:t>
      </w:r>
      <w:r>
        <w:rPr>
          <w:rFonts w:hint="eastAsia" w:ascii="宋体" w:hAnsi="宋体"/>
          <w:sz w:val="28"/>
          <w:szCs w:val="28"/>
          <w:lang w:val="en-US" w:eastAsia="zh-CN"/>
        </w:rPr>
        <w:t>48</w:t>
      </w:r>
      <w:r>
        <w:rPr>
          <w:rFonts w:hint="eastAsia" w:ascii="宋体" w:hAnsi="宋体"/>
          <w:sz w:val="28"/>
          <w:szCs w:val="28"/>
        </w:rPr>
        <w:t>%；国有资本经营预算财政拨款收入0万元，占0%；事业收入0万元，占0%；经营收入0万元，占0%；附属单位上缴收入0万元，占0%；其他收入0万元，占0%。</w:t>
      </w:r>
    </w:p>
    <w:p>
      <w:pPr>
        <w:spacing w:line="600" w:lineRule="exact"/>
        <w:ind w:firstLine="1120" w:firstLineChars="350"/>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ind w:firstLine="3000" w:firstLineChars="1000"/>
        <w:rPr>
          <w:rFonts w:ascii="宋体" w:hAnsi="宋体"/>
          <w:sz w:val="30"/>
          <w:szCs w:val="30"/>
        </w:rPr>
      </w:pPr>
      <w:bookmarkStart w:id="28" w:name="_Toc15396605"/>
      <w:bookmarkStart w:id="29" w:name="_Toc15377207"/>
      <w:r>
        <w:rPr>
          <w:rFonts w:hint="eastAsia" w:ascii="宋体" w:hAnsi="宋体"/>
          <w:sz w:val="30"/>
          <w:szCs w:val="30"/>
        </w:rPr>
        <w:t>收入决算结构</w:t>
      </w:r>
    </w:p>
    <w:p>
      <w:pPr>
        <w:spacing w:line="600" w:lineRule="exact"/>
        <w:ind w:firstLine="480" w:firstLineChars="150"/>
        <w:outlineLvl w:val="1"/>
        <w:rPr>
          <w:rFonts w:ascii="FangSong_GB2312" w:eastAsia="FangSong_GB2312"/>
          <w:color w:val="FF0000"/>
          <w:sz w:val="32"/>
          <w:szCs w:val="32"/>
        </w:rPr>
      </w:pPr>
      <w:r>
        <w:rPr>
          <w:rFonts w:hint="eastAsia" w:ascii="FangSong_GB2312" w:eastAsia="FangSong_GB2312"/>
          <w:color w:val="FF0000"/>
          <w:sz w:val="32"/>
          <w:szCs w:val="32"/>
        </w:rPr>
        <w:drawing>
          <wp:anchor distT="0" distB="1905" distL="114300" distR="114300" simplePos="0" relativeHeight="251659264" behindDoc="0" locked="0" layoutInCell="1" allowOverlap="1">
            <wp:simplePos x="0" y="0"/>
            <wp:positionH relativeFrom="column">
              <wp:posOffset>447675</wp:posOffset>
            </wp:positionH>
            <wp:positionV relativeFrom="paragraph">
              <wp:posOffset>70485</wp:posOffset>
            </wp:positionV>
            <wp:extent cx="4338955" cy="2628900"/>
            <wp:effectExtent l="19050" t="0" r="23495" b="0"/>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160" w:firstLineChars="50"/>
        <w:outlineLvl w:val="1"/>
        <w:rPr>
          <w:rStyle w:val="25"/>
          <w:rFonts w:ascii="黑体" w:hAnsi="黑体" w:eastAsia="黑体"/>
          <w:b w:val="0"/>
        </w:rPr>
      </w:pPr>
      <w:r>
        <w:rPr>
          <w:rFonts w:hint="eastAsia" w:ascii="黑体" w:hAnsi="黑体" w:eastAsia="黑体"/>
          <w:color w:val="000000"/>
          <w:sz w:val="32"/>
          <w:szCs w:val="32"/>
        </w:rPr>
        <w:t>三、支</w:t>
      </w:r>
      <w:r>
        <w:rPr>
          <w:rStyle w:val="25"/>
          <w:rFonts w:hint="eastAsia" w:ascii="黑体" w:hAnsi="黑体" w:eastAsia="黑体"/>
          <w:b w:val="0"/>
        </w:rPr>
        <w:t>出决算情况说明</w:t>
      </w:r>
      <w:bookmarkEnd w:id="28"/>
      <w:bookmarkEnd w:id="29"/>
    </w:p>
    <w:p>
      <w:pPr>
        <w:ind w:firstLine="560" w:firstLineChars="200"/>
        <w:rPr>
          <w:rFonts w:ascii="宋体" w:hAnsi="宋体"/>
          <w:sz w:val="28"/>
          <w:szCs w:val="28"/>
        </w:rPr>
      </w:pPr>
      <w:r>
        <w:rPr>
          <w:rFonts w:ascii="宋体" w:hAnsi="宋体"/>
          <w:sz w:val="28"/>
          <w:szCs w:val="28"/>
        </w:rPr>
        <w:t>20</w:t>
      </w:r>
      <w:r>
        <w:rPr>
          <w:rFonts w:hint="eastAsia" w:ascii="宋体" w:hAnsi="宋体"/>
          <w:sz w:val="28"/>
          <w:szCs w:val="28"/>
          <w:lang w:val="en-US" w:eastAsia="zh-CN"/>
        </w:rPr>
        <w:t>20</w:t>
      </w:r>
      <w:r>
        <w:rPr>
          <w:rFonts w:ascii="宋体" w:hAnsi="宋体"/>
          <w:sz w:val="28"/>
          <w:szCs w:val="28"/>
        </w:rPr>
        <w:t>年</w:t>
      </w:r>
      <w:r>
        <w:rPr>
          <w:rFonts w:hint="eastAsia" w:ascii="宋体" w:hAnsi="宋体"/>
          <w:sz w:val="28"/>
          <w:szCs w:val="28"/>
        </w:rPr>
        <w:t>学校本年</w:t>
      </w:r>
      <w:r>
        <w:rPr>
          <w:rFonts w:ascii="宋体" w:hAnsi="宋体"/>
          <w:sz w:val="28"/>
          <w:szCs w:val="28"/>
        </w:rPr>
        <w:t>支出</w:t>
      </w:r>
      <w:r>
        <w:rPr>
          <w:rFonts w:hint="eastAsia" w:ascii="宋体" w:hAnsi="宋体"/>
          <w:sz w:val="28"/>
          <w:szCs w:val="28"/>
        </w:rPr>
        <w:t>合计</w:t>
      </w:r>
      <w:r>
        <w:rPr>
          <w:rFonts w:hint="eastAsia" w:ascii="宋体" w:hAnsi="宋体"/>
          <w:sz w:val="28"/>
          <w:szCs w:val="28"/>
          <w:lang w:val="en-US" w:eastAsia="zh-CN"/>
        </w:rPr>
        <w:t>1024.70</w:t>
      </w:r>
      <w:r>
        <w:rPr>
          <w:rFonts w:ascii="宋体" w:hAnsi="宋体"/>
          <w:sz w:val="28"/>
          <w:szCs w:val="28"/>
        </w:rPr>
        <w:t>万元，</w:t>
      </w:r>
      <w:r>
        <w:rPr>
          <w:rFonts w:hint="eastAsia" w:ascii="宋体" w:hAnsi="宋体"/>
          <w:sz w:val="28"/>
          <w:szCs w:val="28"/>
        </w:rPr>
        <w:t>其中：基本支出</w:t>
      </w:r>
      <w:r>
        <w:rPr>
          <w:rFonts w:hint="eastAsia" w:ascii="宋体" w:hAnsi="宋体"/>
          <w:sz w:val="28"/>
          <w:szCs w:val="28"/>
          <w:lang w:val="en-US" w:eastAsia="zh-CN"/>
        </w:rPr>
        <w:t>987.25</w:t>
      </w:r>
      <w:r>
        <w:rPr>
          <w:rFonts w:hint="eastAsia" w:ascii="宋体" w:hAnsi="宋体"/>
          <w:sz w:val="28"/>
          <w:szCs w:val="28"/>
        </w:rPr>
        <w:t>万元，占</w:t>
      </w:r>
      <w:r>
        <w:rPr>
          <w:rFonts w:hint="eastAsia" w:ascii="宋体" w:hAnsi="宋体"/>
          <w:sz w:val="28"/>
          <w:szCs w:val="28"/>
          <w:lang w:val="en-US" w:eastAsia="zh-CN"/>
        </w:rPr>
        <w:t>96.35</w:t>
      </w:r>
      <w:r>
        <w:rPr>
          <w:rFonts w:hint="eastAsia" w:ascii="宋体" w:hAnsi="宋体"/>
          <w:sz w:val="28"/>
          <w:szCs w:val="28"/>
        </w:rPr>
        <w:t>%；项目支出</w:t>
      </w:r>
      <w:r>
        <w:rPr>
          <w:rFonts w:hint="eastAsia" w:ascii="宋体" w:hAnsi="宋体"/>
          <w:sz w:val="28"/>
          <w:szCs w:val="28"/>
          <w:lang w:val="en-US" w:eastAsia="zh-CN"/>
        </w:rPr>
        <w:t>37.45</w:t>
      </w:r>
      <w:r>
        <w:rPr>
          <w:rFonts w:hint="eastAsia" w:ascii="宋体" w:hAnsi="宋体"/>
          <w:sz w:val="28"/>
          <w:szCs w:val="28"/>
        </w:rPr>
        <w:t>万元，占</w:t>
      </w:r>
      <w:r>
        <w:rPr>
          <w:rFonts w:hint="eastAsia" w:ascii="宋体" w:hAnsi="宋体"/>
          <w:sz w:val="28"/>
          <w:szCs w:val="28"/>
          <w:lang w:val="en-US" w:eastAsia="zh-CN"/>
        </w:rPr>
        <w:t>3.65</w:t>
      </w:r>
      <w:r>
        <w:rPr>
          <w:rFonts w:hint="eastAsia" w:ascii="宋体" w:hAnsi="宋体"/>
          <w:sz w:val="28"/>
          <w:szCs w:val="28"/>
        </w:rPr>
        <w:t>%；上缴上级支出0万元，占0%；经营支出0万元，占0%；对附属单位补助支出0万元，占0%。</w:t>
      </w:r>
    </w:p>
    <w:p>
      <w:pPr>
        <w:spacing w:line="600" w:lineRule="exact"/>
        <w:ind w:firstLine="960" w:firstLineChars="3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ind w:firstLine="2850" w:firstLineChars="950"/>
      </w:pPr>
      <w:r>
        <w:rPr>
          <w:rFonts w:hint="eastAsia" w:ascii="宋体" w:hAnsi="宋体"/>
          <w:sz w:val="30"/>
          <w:szCs w:val="30"/>
        </w:rPr>
        <w:drawing>
          <wp:anchor distT="0" distB="0" distL="114300" distR="114300" simplePos="0" relativeHeight="251660288" behindDoc="0" locked="0" layoutInCell="1" allowOverlap="1">
            <wp:simplePos x="0" y="0"/>
            <wp:positionH relativeFrom="column">
              <wp:posOffset>457200</wp:posOffset>
            </wp:positionH>
            <wp:positionV relativeFrom="paragraph">
              <wp:posOffset>449580</wp:posOffset>
            </wp:positionV>
            <wp:extent cx="4152900" cy="2724150"/>
            <wp:effectExtent l="19050" t="0" r="19050" b="0"/>
            <wp:wrapTopAndBottom/>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宋体" w:hAnsi="宋体"/>
          <w:sz w:val="30"/>
          <w:szCs w:val="30"/>
        </w:rPr>
        <w:t>支出决算结构图</w:t>
      </w:r>
    </w:p>
    <w:p>
      <w:pPr>
        <w:spacing w:line="600" w:lineRule="exact"/>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ind w:firstLine="560" w:firstLineChars="200"/>
        <w:rPr>
          <w:rFonts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年度财政拨款收入</w:t>
      </w:r>
      <w:r>
        <w:rPr>
          <w:rFonts w:hint="eastAsia" w:ascii="宋体" w:hAnsi="宋体"/>
          <w:sz w:val="28"/>
          <w:szCs w:val="28"/>
          <w:lang w:val="en-US" w:eastAsia="zh-CN"/>
        </w:rPr>
        <w:t>1024.70</w:t>
      </w:r>
      <w:r>
        <w:rPr>
          <w:rFonts w:hint="eastAsia" w:ascii="宋体" w:hAnsi="宋体"/>
          <w:sz w:val="28"/>
          <w:szCs w:val="28"/>
        </w:rPr>
        <w:t>万元，支出</w:t>
      </w:r>
      <w:r>
        <w:rPr>
          <w:rFonts w:hint="eastAsia" w:ascii="宋体" w:hAnsi="宋体"/>
          <w:sz w:val="28"/>
          <w:szCs w:val="28"/>
          <w:lang w:val="en-US" w:eastAsia="zh-CN"/>
        </w:rPr>
        <w:t>1024.70</w:t>
      </w:r>
      <w:r>
        <w:rPr>
          <w:rFonts w:hint="eastAsia" w:ascii="宋体" w:hAnsi="宋体"/>
          <w:sz w:val="28"/>
          <w:szCs w:val="28"/>
        </w:rPr>
        <w:t>万元。与201</w:t>
      </w:r>
      <w:r>
        <w:rPr>
          <w:rFonts w:hint="eastAsia" w:ascii="宋体" w:hAnsi="宋体"/>
          <w:sz w:val="28"/>
          <w:szCs w:val="28"/>
          <w:lang w:val="en-US" w:eastAsia="zh-CN"/>
        </w:rPr>
        <w:t>9</w:t>
      </w:r>
      <w:r>
        <w:rPr>
          <w:rFonts w:hint="eastAsia" w:ascii="宋体" w:hAnsi="宋体"/>
          <w:sz w:val="28"/>
          <w:szCs w:val="28"/>
        </w:rPr>
        <w:t>年相比，财政拨款收入</w:t>
      </w:r>
      <w:r>
        <w:rPr>
          <w:rFonts w:hint="eastAsia" w:ascii="宋体" w:hAnsi="宋体"/>
          <w:sz w:val="28"/>
          <w:szCs w:val="28"/>
          <w:lang w:val="en-US" w:eastAsia="zh-CN"/>
        </w:rPr>
        <w:t>减少678.72</w:t>
      </w:r>
      <w:r>
        <w:rPr>
          <w:rFonts w:hint="eastAsia" w:ascii="宋体" w:hAnsi="宋体"/>
          <w:sz w:val="28"/>
          <w:szCs w:val="28"/>
        </w:rPr>
        <w:t>万元，</w:t>
      </w:r>
      <w:r>
        <w:rPr>
          <w:rFonts w:hint="eastAsia" w:ascii="宋体" w:hAnsi="宋体"/>
          <w:sz w:val="28"/>
          <w:szCs w:val="28"/>
          <w:lang w:val="en-US" w:eastAsia="zh-CN"/>
        </w:rPr>
        <w:t>下降39.85</w:t>
      </w:r>
      <w:r>
        <w:rPr>
          <w:rFonts w:hint="eastAsia" w:ascii="宋体" w:hAnsi="宋体"/>
          <w:sz w:val="28"/>
          <w:szCs w:val="28"/>
        </w:rPr>
        <w:t>%，支出减少</w:t>
      </w:r>
      <w:r>
        <w:rPr>
          <w:rFonts w:hint="eastAsia" w:ascii="宋体" w:hAnsi="宋体"/>
          <w:sz w:val="28"/>
          <w:szCs w:val="28"/>
          <w:lang w:val="en-US" w:eastAsia="zh-CN"/>
        </w:rPr>
        <w:t>29.94</w:t>
      </w:r>
      <w:r>
        <w:rPr>
          <w:rFonts w:hint="eastAsia" w:ascii="宋体" w:hAnsi="宋体"/>
          <w:sz w:val="28"/>
          <w:szCs w:val="28"/>
        </w:rPr>
        <w:t>万元，下降</w:t>
      </w:r>
      <w:r>
        <w:rPr>
          <w:rFonts w:hint="eastAsia" w:ascii="宋体" w:hAnsi="宋体"/>
          <w:sz w:val="28"/>
          <w:szCs w:val="28"/>
          <w:lang w:val="en-US" w:eastAsia="zh-CN"/>
        </w:rPr>
        <w:t>2.84</w:t>
      </w:r>
      <w:r>
        <w:rPr>
          <w:rFonts w:hint="eastAsia" w:ascii="宋体" w:hAnsi="宋体"/>
          <w:sz w:val="28"/>
          <w:szCs w:val="28"/>
        </w:rPr>
        <w:t>%，主要变动原因是基本支出、项目支出减少。</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ind w:firstLine="2100" w:firstLineChars="700"/>
        <w:rPr>
          <w:rFonts w:ascii="宋体" w:hAnsi="宋体"/>
          <w:sz w:val="30"/>
          <w:szCs w:val="30"/>
        </w:rPr>
      </w:pPr>
      <w:r>
        <w:rPr>
          <w:rFonts w:hint="eastAsia" w:ascii="宋体" w:hAnsi="宋体"/>
          <w:sz w:val="30"/>
          <w:szCs w:val="30"/>
        </w:rPr>
        <w:t>财政拨款收入支出决算总体情况</w:t>
      </w:r>
    </w:p>
    <w:p>
      <w:pPr>
        <w:spacing w:line="600" w:lineRule="exact"/>
        <w:ind w:firstLine="640"/>
        <w:rPr>
          <w:rFonts w:ascii="仿宋" w:hAnsi="仿宋" w:eastAsia="仿宋"/>
          <w:b/>
          <w:color w:val="000000" w:themeColor="text1"/>
          <w:sz w:val="32"/>
          <w:szCs w:val="32"/>
        </w:rPr>
      </w:pPr>
      <w:r>
        <w:rPr>
          <w:rFonts w:hint="eastAsia" w:ascii="仿宋" w:hAnsi="仿宋" w:eastAsia="仿宋"/>
          <w:b/>
          <w:color w:val="000000" w:themeColor="text1"/>
          <w:sz w:val="32"/>
          <w:szCs w:val="32"/>
        </w:rPr>
        <w:drawing>
          <wp:anchor distT="0" distB="0" distL="114300" distR="114300" simplePos="0" relativeHeight="251665408" behindDoc="0" locked="0" layoutInCell="1" allowOverlap="1">
            <wp:simplePos x="0" y="0"/>
            <wp:positionH relativeFrom="column">
              <wp:posOffset>47625</wp:posOffset>
            </wp:positionH>
            <wp:positionV relativeFrom="paragraph">
              <wp:posOffset>26035</wp:posOffset>
            </wp:positionV>
            <wp:extent cx="5278755" cy="3238500"/>
            <wp:effectExtent l="4445" t="4445" r="12700" b="1460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rPr>
          <w:rFonts w:ascii="仿宋" w:hAnsi="仿宋" w:eastAsia="仿宋"/>
          <w:b/>
          <w:color w:val="000000" w:themeColor="text1"/>
          <w:sz w:val="32"/>
          <w:szCs w:val="32"/>
        </w:rPr>
      </w:pPr>
    </w:p>
    <w:p>
      <w:pPr>
        <w:spacing w:line="600" w:lineRule="exact"/>
        <w:ind w:firstLine="640"/>
        <w:rPr>
          <w:rFonts w:ascii="仿宋" w:hAnsi="仿宋" w:eastAsia="仿宋"/>
          <w:b/>
          <w:color w:val="000000" w:themeColor="text1"/>
          <w:sz w:val="32"/>
          <w:szCs w:val="32"/>
        </w:rPr>
      </w:pPr>
    </w:p>
    <w:p>
      <w:pPr>
        <w:spacing w:line="600" w:lineRule="exact"/>
        <w:ind w:firstLine="640"/>
        <w:rPr>
          <w:rFonts w:ascii="仿宋" w:hAnsi="仿宋" w:eastAsia="仿宋"/>
          <w:b/>
          <w:color w:val="000000" w:themeColor="text1"/>
          <w:sz w:val="32"/>
          <w:szCs w:val="32"/>
        </w:rPr>
      </w:pPr>
    </w:p>
    <w:p>
      <w:pPr>
        <w:spacing w:line="600" w:lineRule="exact"/>
        <w:ind w:firstLine="640"/>
        <w:rPr>
          <w:rFonts w:ascii="仿宋" w:hAnsi="仿宋" w:eastAsia="仿宋"/>
          <w:b/>
          <w:color w:val="000000" w:themeColor="text1"/>
          <w:sz w:val="32"/>
          <w:szCs w:val="32"/>
        </w:rPr>
      </w:pPr>
    </w:p>
    <w:p>
      <w:pPr>
        <w:spacing w:line="600" w:lineRule="exact"/>
        <w:ind w:firstLine="640"/>
        <w:rPr>
          <w:rFonts w:ascii="仿宋" w:hAnsi="仿宋" w:eastAsia="仿宋"/>
          <w:b/>
          <w:color w:val="000000" w:themeColor="text1"/>
          <w:sz w:val="32"/>
          <w:szCs w:val="32"/>
        </w:rPr>
      </w:pPr>
    </w:p>
    <w:p>
      <w:pPr>
        <w:spacing w:line="600" w:lineRule="exact"/>
        <w:ind w:firstLine="640"/>
        <w:rPr>
          <w:rFonts w:ascii="仿宋" w:hAnsi="仿宋" w:eastAsia="仿宋"/>
          <w:b/>
          <w:color w:val="000000" w:themeColor="text1"/>
          <w:sz w:val="32"/>
          <w:szCs w:val="32"/>
        </w:rPr>
      </w:pPr>
    </w:p>
    <w:p>
      <w:pPr>
        <w:spacing w:line="600" w:lineRule="exact"/>
        <w:ind w:firstLine="640"/>
        <w:rPr>
          <w:rFonts w:ascii="仿宋" w:hAnsi="仿宋" w:eastAsia="仿宋"/>
          <w:b/>
          <w:color w:val="000000" w:themeColor="text1"/>
          <w:sz w:val="32"/>
          <w:szCs w:val="32"/>
        </w:rPr>
      </w:pPr>
    </w:p>
    <w:p>
      <w:pPr>
        <w:spacing w:line="600" w:lineRule="exact"/>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157" w:firstLineChars="49"/>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ind w:firstLine="560" w:firstLineChars="200"/>
        <w:rPr>
          <w:rFonts w:ascii="宋体" w:hAnsi="宋体"/>
          <w:sz w:val="28"/>
          <w:szCs w:val="28"/>
        </w:rPr>
      </w:pPr>
      <w:r>
        <w:rPr>
          <w:rFonts w:hint="eastAsia" w:ascii="宋体" w:hAnsi="宋体"/>
          <w:sz w:val="28"/>
          <w:szCs w:val="28"/>
        </w:rPr>
        <w:t>2</w:t>
      </w:r>
      <w:r>
        <w:rPr>
          <w:rFonts w:hint="eastAsia" w:ascii="宋体" w:hAnsi="宋体"/>
          <w:sz w:val="28"/>
          <w:szCs w:val="28"/>
          <w:lang w:val="en-US" w:eastAsia="zh-CN"/>
        </w:rPr>
        <w:t>020</w:t>
      </w:r>
      <w:r>
        <w:rPr>
          <w:rFonts w:hint="eastAsia" w:ascii="宋体" w:hAnsi="宋体"/>
          <w:sz w:val="28"/>
          <w:szCs w:val="28"/>
        </w:rPr>
        <w:t>年度一般公共预算财政拨款支出</w:t>
      </w:r>
      <w:r>
        <w:rPr>
          <w:rFonts w:hint="eastAsia" w:ascii="宋体" w:hAnsi="宋体"/>
          <w:sz w:val="28"/>
          <w:szCs w:val="28"/>
          <w:lang w:val="en-US" w:eastAsia="zh-CN"/>
        </w:rPr>
        <w:t>1019.70</w:t>
      </w:r>
      <w:r>
        <w:rPr>
          <w:rFonts w:hint="eastAsia" w:ascii="宋体" w:hAnsi="宋体"/>
          <w:sz w:val="28"/>
          <w:szCs w:val="28"/>
        </w:rPr>
        <w:t>万元，占本年支出合计的</w:t>
      </w:r>
      <w:r>
        <w:rPr>
          <w:rFonts w:hint="eastAsia" w:ascii="宋体" w:hAnsi="宋体"/>
          <w:sz w:val="28"/>
          <w:szCs w:val="28"/>
          <w:lang w:val="en-US" w:eastAsia="zh-CN"/>
        </w:rPr>
        <w:t>99.52</w:t>
      </w:r>
      <w:r>
        <w:rPr>
          <w:rFonts w:hint="eastAsia" w:ascii="宋体" w:hAnsi="宋体"/>
          <w:sz w:val="28"/>
          <w:szCs w:val="28"/>
        </w:rPr>
        <w:t>%。与20</w:t>
      </w:r>
      <w:r>
        <w:rPr>
          <w:rFonts w:hint="eastAsia" w:ascii="宋体" w:hAnsi="宋体"/>
          <w:sz w:val="28"/>
          <w:szCs w:val="28"/>
          <w:lang w:val="en-US" w:eastAsia="zh-CN"/>
        </w:rPr>
        <w:t>19</w:t>
      </w:r>
      <w:r>
        <w:rPr>
          <w:rFonts w:hint="eastAsia" w:ascii="宋体" w:hAnsi="宋体"/>
          <w:sz w:val="28"/>
          <w:szCs w:val="28"/>
        </w:rPr>
        <w:t>年相比，一般公共预算财政拨款支出减少</w:t>
      </w:r>
      <w:r>
        <w:rPr>
          <w:rFonts w:hint="eastAsia" w:ascii="宋体" w:hAnsi="宋体"/>
          <w:sz w:val="28"/>
          <w:szCs w:val="28"/>
          <w:lang w:val="en-US" w:eastAsia="zh-CN"/>
        </w:rPr>
        <w:t>29.94</w:t>
      </w:r>
      <w:r>
        <w:rPr>
          <w:rFonts w:hint="eastAsia" w:ascii="宋体" w:hAnsi="宋体"/>
          <w:sz w:val="28"/>
          <w:szCs w:val="28"/>
        </w:rPr>
        <w:t>万元，下降</w:t>
      </w:r>
      <w:r>
        <w:rPr>
          <w:rFonts w:hint="eastAsia" w:ascii="宋体" w:hAnsi="宋体"/>
          <w:sz w:val="28"/>
          <w:szCs w:val="28"/>
          <w:lang w:val="en-US" w:eastAsia="zh-CN"/>
        </w:rPr>
        <w:t>2.86</w:t>
      </w:r>
      <w:r>
        <w:rPr>
          <w:rFonts w:hint="eastAsia" w:ascii="宋体" w:hAnsi="宋体"/>
          <w:sz w:val="28"/>
          <w:szCs w:val="28"/>
        </w:rPr>
        <w:t>%，主要变动原因是基本支出、项目支出减少。</w:t>
      </w:r>
    </w:p>
    <w:p>
      <w:pPr>
        <w:spacing w:line="6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tabs>
          <w:tab w:val="left" w:pos="1575"/>
        </w:tabs>
        <w:spacing w:line="600" w:lineRule="exact"/>
        <w:ind w:firstLine="643" w:firstLineChars="200"/>
        <w:outlineLvl w:val="2"/>
        <w:rPr>
          <w:rFonts w:ascii="仿宋" w:hAnsi="仿宋" w:eastAsia="仿宋"/>
          <w:b/>
          <w:color w:val="000000"/>
          <w:sz w:val="32"/>
          <w:szCs w:val="32"/>
        </w:rPr>
      </w:pPr>
      <w:bookmarkStart w:id="35" w:name="_Toc15377211"/>
      <w:r>
        <w:rPr>
          <w:rFonts w:ascii="仿宋" w:hAnsi="仿宋" w:eastAsia="仿宋"/>
          <w:b/>
          <w:color w:val="000000"/>
          <w:sz w:val="32"/>
          <w:szCs w:val="32"/>
        </w:rPr>
        <w:tab/>
      </w:r>
      <w:r>
        <w:rPr>
          <w:rFonts w:hint="eastAsia" w:ascii="宋体" w:hAnsi="宋体"/>
          <w:sz w:val="30"/>
          <w:szCs w:val="30"/>
        </w:rPr>
        <w:t>一般公共预算财政拨款支出决算情况</w:t>
      </w:r>
    </w:p>
    <w:p>
      <w:pPr>
        <w:spacing w:line="600" w:lineRule="exact"/>
        <w:ind w:firstLine="643" w:firstLineChars="200"/>
        <w:outlineLvl w:val="2"/>
        <w:rPr>
          <w:rFonts w:ascii="仿宋" w:hAnsi="仿宋" w:eastAsia="仿宋"/>
          <w:b/>
          <w:color w:val="000000"/>
          <w:sz w:val="32"/>
          <w:szCs w:val="32"/>
        </w:rPr>
      </w:pPr>
      <w:r>
        <w:rPr>
          <w:rFonts w:ascii="仿宋" w:hAnsi="仿宋" w:eastAsia="仿宋"/>
          <w:b/>
          <w:color w:val="000000"/>
          <w:sz w:val="32"/>
          <w:szCs w:val="32"/>
        </w:rPr>
        <w:drawing>
          <wp:anchor distT="0" distB="0" distL="114300" distR="114300" simplePos="0" relativeHeight="251661312" behindDoc="0" locked="0" layoutInCell="1" allowOverlap="1">
            <wp:simplePos x="0" y="0"/>
            <wp:positionH relativeFrom="column">
              <wp:posOffset>66675</wp:posOffset>
            </wp:positionH>
            <wp:positionV relativeFrom="paragraph">
              <wp:posOffset>78105</wp:posOffset>
            </wp:positionV>
            <wp:extent cx="5069840" cy="3343275"/>
            <wp:effectExtent l="19050" t="0" r="16510" b="0"/>
            <wp:wrapNone/>
            <wp:docPr id="9"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3" w:firstLineChars="200"/>
        <w:outlineLvl w:val="2"/>
        <w:rPr>
          <w:rFonts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p>
    <w:p>
      <w:pPr>
        <w:spacing w:line="600" w:lineRule="exact"/>
        <w:outlineLvl w:val="2"/>
        <w:rPr>
          <w:rFonts w:ascii="仿宋" w:hAnsi="仿宋" w:eastAsia="仿宋"/>
          <w:b/>
          <w:color w:val="000000"/>
          <w:sz w:val="32"/>
          <w:szCs w:val="32"/>
        </w:rPr>
      </w:pPr>
    </w:p>
    <w:p>
      <w:pPr>
        <w:spacing w:line="600" w:lineRule="exact"/>
        <w:outlineLvl w:val="2"/>
        <w:rPr>
          <w:rFonts w:ascii="仿宋" w:hAnsi="仿宋" w:eastAsia="仿宋"/>
          <w:b/>
          <w:color w:val="000000"/>
          <w:sz w:val="32"/>
          <w:szCs w:val="32"/>
        </w:rPr>
      </w:pPr>
    </w:p>
    <w:p>
      <w:pPr>
        <w:spacing w:line="600" w:lineRule="exact"/>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5"/>
    </w:p>
    <w:p>
      <w:pPr>
        <w:ind w:firstLine="560" w:firstLineChars="200"/>
        <w:rPr>
          <w:rFonts w:ascii="宋体" w:hAnsi="宋体"/>
          <w:sz w:val="30"/>
          <w:szCs w:val="30"/>
        </w:rPr>
      </w:pPr>
      <w:r>
        <w:rPr>
          <w:rFonts w:hint="eastAsia" w:ascii="宋体" w:hAnsi="宋体"/>
          <w:sz w:val="28"/>
          <w:szCs w:val="28"/>
          <w:lang w:val="en-US" w:eastAsia="zh-CN"/>
        </w:rPr>
        <w:t>2020</w:t>
      </w:r>
      <w:r>
        <w:rPr>
          <w:rFonts w:hint="eastAsia" w:ascii="宋体" w:hAnsi="宋体"/>
          <w:sz w:val="28"/>
          <w:szCs w:val="28"/>
        </w:rPr>
        <w:t>年一般公共预算财政拨款支出</w:t>
      </w:r>
      <w:r>
        <w:rPr>
          <w:rFonts w:hint="eastAsia" w:ascii="宋体" w:hAnsi="宋体"/>
          <w:sz w:val="28"/>
          <w:szCs w:val="28"/>
          <w:lang w:val="en-US" w:eastAsia="zh-CN"/>
        </w:rPr>
        <w:t>1019.70</w:t>
      </w:r>
      <w:r>
        <w:rPr>
          <w:rFonts w:hint="eastAsia" w:ascii="宋体" w:hAnsi="宋体"/>
          <w:sz w:val="28"/>
          <w:szCs w:val="28"/>
        </w:rPr>
        <w:t>万元，主要用于以下方面:一般公共服务支出</w:t>
      </w:r>
      <w:r>
        <w:rPr>
          <w:rFonts w:hint="eastAsia" w:ascii="宋体" w:hAnsi="宋体"/>
          <w:sz w:val="28"/>
          <w:szCs w:val="28"/>
          <w:lang w:val="en-US" w:eastAsia="zh-CN"/>
        </w:rPr>
        <w:t>1019.70</w:t>
      </w:r>
      <w:r>
        <w:rPr>
          <w:rFonts w:hint="eastAsia" w:ascii="宋体" w:hAnsi="宋体"/>
          <w:sz w:val="28"/>
          <w:szCs w:val="28"/>
        </w:rPr>
        <w:t>万元，占100%；教育支出</w:t>
      </w:r>
      <w:r>
        <w:rPr>
          <w:rFonts w:hint="eastAsia" w:ascii="宋体" w:hAnsi="宋体"/>
          <w:sz w:val="28"/>
          <w:szCs w:val="28"/>
          <w:lang w:val="en-US" w:eastAsia="zh-CN"/>
        </w:rPr>
        <w:t>826.90</w:t>
      </w:r>
      <w:r>
        <w:rPr>
          <w:rFonts w:hint="eastAsia" w:ascii="宋体" w:hAnsi="宋体"/>
          <w:sz w:val="28"/>
          <w:szCs w:val="28"/>
        </w:rPr>
        <w:t>万元，占</w:t>
      </w:r>
      <w:r>
        <w:rPr>
          <w:rFonts w:hint="eastAsia" w:ascii="宋体" w:hAnsi="宋体"/>
          <w:sz w:val="28"/>
          <w:szCs w:val="28"/>
          <w:lang w:val="en-US" w:eastAsia="zh-CN"/>
        </w:rPr>
        <w:t>81.10</w:t>
      </w:r>
      <w:r>
        <w:rPr>
          <w:rFonts w:hint="eastAsia" w:ascii="宋体" w:hAnsi="宋体"/>
          <w:sz w:val="28"/>
          <w:szCs w:val="28"/>
        </w:rPr>
        <w:t>%；社会保障和就业支出</w:t>
      </w:r>
      <w:r>
        <w:rPr>
          <w:rFonts w:hint="eastAsia" w:ascii="宋体" w:hAnsi="宋体"/>
          <w:sz w:val="28"/>
          <w:szCs w:val="28"/>
          <w:lang w:val="en-US" w:eastAsia="zh-CN"/>
        </w:rPr>
        <w:t>88.11</w:t>
      </w:r>
      <w:r>
        <w:rPr>
          <w:rFonts w:hint="eastAsia" w:ascii="宋体" w:hAnsi="宋体"/>
          <w:sz w:val="28"/>
          <w:szCs w:val="28"/>
        </w:rPr>
        <w:t>万元，占</w:t>
      </w:r>
      <w:r>
        <w:rPr>
          <w:rFonts w:hint="eastAsia" w:ascii="宋体" w:hAnsi="宋体"/>
          <w:sz w:val="28"/>
          <w:szCs w:val="28"/>
          <w:lang w:val="en-US" w:eastAsia="zh-CN"/>
        </w:rPr>
        <w:t>8.63</w:t>
      </w:r>
      <w:r>
        <w:rPr>
          <w:rFonts w:hint="eastAsia" w:ascii="宋体" w:hAnsi="宋体"/>
          <w:sz w:val="28"/>
          <w:szCs w:val="28"/>
        </w:rPr>
        <w:t>%；医疗卫生支出</w:t>
      </w:r>
      <w:r>
        <w:rPr>
          <w:rFonts w:hint="eastAsia" w:ascii="宋体" w:hAnsi="宋体"/>
          <w:sz w:val="28"/>
          <w:szCs w:val="28"/>
          <w:lang w:val="en-US" w:eastAsia="zh-CN"/>
        </w:rPr>
        <w:t>41.46</w:t>
      </w:r>
      <w:r>
        <w:rPr>
          <w:rFonts w:hint="eastAsia" w:ascii="宋体" w:hAnsi="宋体"/>
          <w:sz w:val="28"/>
          <w:szCs w:val="28"/>
        </w:rPr>
        <w:t>万元，占</w:t>
      </w:r>
      <w:r>
        <w:rPr>
          <w:rFonts w:hint="eastAsia" w:ascii="宋体" w:hAnsi="宋体"/>
          <w:sz w:val="28"/>
          <w:szCs w:val="28"/>
          <w:lang w:val="en-US" w:eastAsia="zh-CN"/>
        </w:rPr>
        <w:t>4.07</w:t>
      </w:r>
      <w:r>
        <w:rPr>
          <w:rFonts w:hint="eastAsia" w:ascii="宋体" w:hAnsi="宋体"/>
          <w:sz w:val="28"/>
          <w:szCs w:val="28"/>
        </w:rPr>
        <w:t>%；住房保障支出</w:t>
      </w:r>
      <w:r>
        <w:rPr>
          <w:rFonts w:hint="eastAsia" w:ascii="宋体" w:hAnsi="宋体"/>
          <w:sz w:val="28"/>
          <w:szCs w:val="28"/>
          <w:lang w:val="en-US" w:eastAsia="zh-CN"/>
        </w:rPr>
        <w:t>63.23</w:t>
      </w:r>
      <w:r>
        <w:rPr>
          <w:rFonts w:hint="eastAsia" w:ascii="宋体" w:hAnsi="宋体"/>
          <w:sz w:val="28"/>
          <w:szCs w:val="28"/>
        </w:rPr>
        <w:t>万元，占</w:t>
      </w:r>
      <w:r>
        <w:rPr>
          <w:rFonts w:hint="eastAsia" w:ascii="宋体" w:hAnsi="宋体"/>
          <w:sz w:val="28"/>
          <w:szCs w:val="28"/>
          <w:lang w:val="en-US" w:eastAsia="zh-CN"/>
        </w:rPr>
        <w:t>6.20</w:t>
      </w:r>
      <w:r>
        <w:rPr>
          <w:rFonts w:hint="eastAsia" w:ascii="宋体" w:hAnsi="宋体"/>
          <w:sz w:val="28"/>
          <w:szCs w:val="28"/>
        </w:rPr>
        <w:t>%</w:t>
      </w:r>
      <w:r>
        <w:rPr>
          <w:rFonts w:hint="eastAsia" w:ascii="宋体" w:hAnsi="宋体"/>
          <w:sz w:val="30"/>
          <w:szCs w:val="30"/>
        </w:rPr>
        <w:t xml:space="preserve">。  </w:t>
      </w:r>
    </w:p>
    <w:p>
      <w:pPr>
        <w:spacing w:line="600" w:lineRule="exact"/>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drawing>
          <wp:anchor distT="0" distB="0" distL="114300" distR="114300" simplePos="0" relativeHeight="251662336" behindDoc="0" locked="0" layoutInCell="1" allowOverlap="1">
            <wp:simplePos x="0" y="0"/>
            <wp:positionH relativeFrom="column">
              <wp:posOffset>66675</wp:posOffset>
            </wp:positionH>
            <wp:positionV relativeFrom="paragraph">
              <wp:posOffset>152400</wp:posOffset>
            </wp:positionV>
            <wp:extent cx="5229225" cy="3171825"/>
            <wp:effectExtent l="19050" t="0" r="9525" b="0"/>
            <wp:wrapNone/>
            <wp:docPr id="10"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3" w:firstLineChars="200"/>
        <w:outlineLvl w:val="2"/>
        <w:rPr>
          <w:rFonts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p>
    <w:p>
      <w:pPr>
        <w:spacing w:line="600" w:lineRule="exact"/>
        <w:ind w:firstLine="157" w:firstLineChars="49"/>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sz w:val="32"/>
          <w:szCs w:val="32"/>
        </w:rPr>
      </w:pPr>
      <w:bookmarkStart w:id="37" w:name="_Toc15378460"/>
      <w:bookmarkStart w:id="38" w:name="_Toc15377213"/>
      <w:bookmarkStart w:id="39" w:name="_Toc15377444"/>
      <w:r>
        <w:rPr>
          <w:rFonts w:hint="eastAsia" w:ascii="仿宋" w:hAnsi="仿宋" w:eastAsia="仿宋"/>
          <w:b/>
          <w:sz w:val="32"/>
          <w:szCs w:val="32"/>
          <w:lang w:val="en-US" w:eastAsia="zh-CN"/>
        </w:rPr>
        <w:t>2020</w:t>
      </w:r>
      <w:r>
        <w:rPr>
          <w:rFonts w:hint="eastAsia" w:ascii="仿宋" w:hAnsi="仿宋" w:eastAsia="仿宋"/>
          <w:b/>
          <w:sz w:val="32"/>
          <w:szCs w:val="32"/>
        </w:rPr>
        <w:t>年一般公共预算支出决算数为</w:t>
      </w:r>
      <w:r>
        <w:rPr>
          <w:rFonts w:hint="eastAsia" w:ascii="仿宋" w:hAnsi="仿宋" w:eastAsia="仿宋"/>
          <w:b/>
          <w:sz w:val="32"/>
          <w:szCs w:val="32"/>
          <w:lang w:val="en-US" w:eastAsia="zh-CN"/>
        </w:rPr>
        <w:t>1019.70</w:t>
      </w:r>
      <w:r>
        <w:rPr>
          <w:rFonts w:hint="eastAsia" w:ascii="仿宋" w:hAnsi="仿宋" w:eastAsia="仿宋"/>
          <w:b/>
          <w:sz w:val="32"/>
          <w:szCs w:val="32"/>
        </w:rPr>
        <w:t>万元</w:t>
      </w:r>
      <w:r>
        <w:rPr>
          <w:rFonts w:hint="eastAsia" w:ascii="仿宋" w:hAnsi="仿宋" w:eastAsia="仿宋"/>
          <w:sz w:val="32"/>
          <w:szCs w:val="32"/>
        </w:rPr>
        <w:t>，</w:t>
      </w:r>
      <w:r>
        <w:rPr>
          <w:rStyle w:val="14"/>
          <w:rFonts w:hint="eastAsia" w:ascii="仿宋" w:hAnsi="仿宋" w:eastAsia="仿宋"/>
          <w:bCs/>
          <w:sz w:val="32"/>
          <w:szCs w:val="32"/>
        </w:rPr>
        <w:t>完成预算100</w:t>
      </w:r>
      <w:r>
        <w:rPr>
          <w:rStyle w:val="14"/>
          <w:rFonts w:ascii="仿宋" w:hAnsi="仿宋" w:eastAsia="仿宋"/>
          <w:bCs/>
          <w:sz w:val="32"/>
          <w:szCs w:val="32"/>
        </w:rPr>
        <w:t>%</w:t>
      </w:r>
      <w:r>
        <w:rPr>
          <w:rStyle w:val="14"/>
          <w:rFonts w:hint="eastAsia" w:ascii="仿宋" w:hAnsi="仿宋" w:eastAsia="仿宋"/>
          <w:bCs/>
          <w:sz w:val="32"/>
          <w:szCs w:val="32"/>
        </w:rPr>
        <w:t>。其中：</w:t>
      </w:r>
      <w:bookmarkEnd w:id="37"/>
      <w:bookmarkEnd w:id="38"/>
      <w:bookmarkEnd w:id="39"/>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1.</w:t>
      </w:r>
      <w:r>
        <w:rPr>
          <w:rStyle w:val="14"/>
          <w:rFonts w:hint="eastAsia" w:ascii="仿宋" w:hAnsi="仿宋" w:eastAsia="仿宋"/>
          <w:bCs/>
          <w:sz w:val="32"/>
          <w:szCs w:val="32"/>
        </w:rPr>
        <w:t>一般公共服务：</w:t>
      </w:r>
      <w:r>
        <w:rPr>
          <w:rStyle w:val="14"/>
          <w:rFonts w:hint="eastAsia" w:ascii="仿宋" w:hAnsi="仿宋" w:eastAsia="仿宋"/>
          <w:b w:val="0"/>
          <w:bCs/>
          <w:sz w:val="32"/>
          <w:szCs w:val="32"/>
        </w:rPr>
        <w:t>支出决算为0万元。</w:t>
      </w:r>
    </w:p>
    <w:p>
      <w:pPr>
        <w:spacing w:line="600" w:lineRule="exact"/>
        <w:ind w:firstLine="643" w:firstLineChars="200"/>
        <w:rPr>
          <w:rStyle w:val="14"/>
          <w:rFonts w:ascii="仿宋" w:hAnsi="仿宋" w:eastAsia="仿宋"/>
          <w:b w:val="0"/>
          <w:bCs/>
          <w:sz w:val="32"/>
          <w:szCs w:val="32"/>
        </w:rPr>
      </w:pPr>
      <w:r>
        <w:rPr>
          <w:rStyle w:val="14"/>
          <w:rFonts w:ascii="仿宋" w:hAnsi="仿宋" w:eastAsia="仿宋"/>
          <w:bCs/>
          <w:sz w:val="32"/>
          <w:szCs w:val="32"/>
        </w:rPr>
        <w:t>2.</w:t>
      </w:r>
      <w:r>
        <w:rPr>
          <w:rStyle w:val="14"/>
          <w:rFonts w:hint="eastAsia" w:ascii="仿宋" w:hAnsi="仿宋" w:eastAsia="仿宋"/>
          <w:bCs/>
          <w:sz w:val="32"/>
          <w:szCs w:val="32"/>
        </w:rPr>
        <w:t>教育支出</w:t>
      </w:r>
      <w:r>
        <w:rPr>
          <w:rStyle w:val="14"/>
          <w:rFonts w:ascii="仿宋" w:hAnsi="仿宋" w:eastAsia="仿宋"/>
          <w:bCs/>
          <w:sz w:val="32"/>
          <w:szCs w:val="32"/>
        </w:rPr>
        <w:t>:</w:t>
      </w:r>
      <w:r>
        <w:rPr>
          <w:rStyle w:val="18"/>
          <w:rFonts w:hint="eastAsia" w:ascii="宋体" w:hAnsi="宋体" w:cs="宋体"/>
          <w:sz w:val="28"/>
          <w:szCs w:val="28"/>
        </w:rPr>
        <w:t xml:space="preserve"> </w:t>
      </w:r>
      <w:r>
        <w:rPr>
          <w:rStyle w:val="14"/>
          <w:rFonts w:hint="eastAsia" w:ascii="宋体" w:hAnsi="宋体" w:cs="宋体"/>
          <w:b w:val="0"/>
          <w:sz w:val="28"/>
          <w:szCs w:val="28"/>
        </w:rPr>
        <w:t>教育支出决算为</w:t>
      </w:r>
      <w:r>
        <w:rPr>
          <w:rStyle w:val="14"/>
          <w:rFonts w:hint="eastAsia" w:ascii="宋体" w:hAnsi="宋体" w:cs="宋体"/>
          <w:b w:val="0"/>
          <w:sz w:val="28"/>
          <w:szCs w:val="28"/>
          <w:lang w:val="en-US" w:eastAsia="zh-CN"/>
        </w:rPr>
        <w:t>826.90</w:t>
      </w:r>
      <w:r>
        <w:rPr>
          <w:rStyle w:val="14"/>
          <w:rFonts w:hint="eastAsia" w:ascii="宋体" w:hAnsi="宋体" w:cs="宋体"/>
          <w:b w:val="0"/>
          <w:sz w:val="28"/>
          <w:szCs w:val="28"/>
        </w:rPr>
        <w:t>万元</w:t>
      </w:r>
      <w:r>
        <w:rPr>
          <w:rFonts w:hint="eastAsia" w:ascii="宋体" w:hAnsi="宋体" w:cs="宋体"/>
          <w:b/>
          <w:sz w:val="28"/>
          <w:szCs w:val="28"/>
        </w:rPr>
        <w:t>（其中</w:t>
      </w:r>
      <w:r>
        <w:rPr>
          <w:rStyle w:val="14"/>
          <w:rFonts w:hint="eastAsia" w:ascii="宋体" w:hAnsi="宋体" w:cs="宋体"/>
          <w:b w:val="0"/>
          <w:sz w:val="28"/>
          <w:szCs w:val="28"/>
        </w:rPr>
        <w:t>工资福利支出:</w:t>
      </w:r>
      <w:r>
        <w:rPr>
          <w:rStyle w:val="14"/>
          <w:rFonts w:hint="eastAsia" w:ascii="宋体" w:hAnsi="宋体" w:cs="宋体"/>
          <w:b w:val="0"/>
          <w:sz w:val="28"/>
          <w:szCs w:val="28"/>
          <w:lang w:val="en-US" w:eastAsia="zh-CN"/>
        </w:rPr>
        <w:t>553.58</w:t>
      </w:r>
      <w:r>
        <w:rPr>
          <w:rStyle w:val="14"/>
          <w:rFonts w:hint="eastAsia" w:ascii="宋体" w:hAnsi="宋体" w:cs="宋体"/>
          <w:b w:val="0"/>
          <w:sz w:val="28"/>
          <w:szCs w:val="28"/>
        </w:rPr>
        <w:t>万元、商品和服务支出：</w:t>
      </w:r>
      <w:r>
        <w:rPr>
          <w:rStyle w:val="14"/>
          <w:rFonts w:hint="eastAsia" w:ascii="宋体" w:hAnsi="宋体" w:cs="宋体"/>
          <w:b w:val="0"/>
          <w:sz w:val="28"/>
          <w:szCs w:val="28"/>
          <w:lang w:val="en-US" w:eastAsia="zh-CN"/>
        </w:rPr>
        <w:t>114.69</w:t>
      </w:r>
      <w:r>
        <w:rPr>
          <w:rStyle w:val="14"/>
          <w:rFonts w:hint="eastAsia" w:ascii="宋体" w:hAnsi="宋体" w:cs="宋体"/>
          <w:b w:val="0"/>
          <w:sz w:val="28"/>
          <w:szCs w:val="28"/>
        </w:rPr>
        <w:t>万元、对个人和家庭的补助：</w:t>
      </w:r>
      <w:r>
        <w:rPr>
          <w:rStyle w:val="14"/>
          <w:rFonts w:hint="eastAsia" w:ascii="宋体" w:hAnsi="宋体" w:cs="宋体"/>
          <w:b w:val="0"/>
          <w:sz w:val="28"/>
          <w:szCs w:val="28"/>
          <w:lang w:val="en-US" w:eastAsia="zh-CN"/>
        </w:rPr>
        <w:t>158.63</w:t>
      </w:r>
      <w:r>
        <w:rPr>
          <w:rStyle w:val="14"/>
          <w:rFonts w:hint="eastAsia" w:ascii="宋体" w:hAnsi="宋体" w:cs="宋体"/>
          <w:b w:val="0"/>
          <w:sz w:val="28"/>
          <w:szCs w:val="28"/>
        </w:rPr>
        <w:t>万元），完成预算100%。</w:t>
      </w:r>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3.</w:t>
      </w:r>
      <w:r>
        <w:rPr>
          <w:rStyle w:val="14"/>
          <w:rFonts w:hint="eastAsia" w:ascii="仿宋" w:hAnsi="仿宋" w:eastAsia="仿宋"/>
          <w:bCs/>
          <w:sz w:val="32"/>
          <w:szCs w:val="32"/>
        </w:rPr>
        <w:t>科学技术</w:t>
      </w:r>
      <w:r>
        <w:rPr>
          <w:rStyle w:val="14"/>
          <w:rFonts w:ascii="仿宋" w:hAnsi="仿宋" w:eastAsia="仿宋"/>
          <w:bCs/>
          <w:sz w:val="32"/>
          <w:szCs w:val="32"/>
        </w:rPr>
        <w:t>:</w:t>
      </w:r>
      <w:r>
        <w:rPr>
          <w:rStyle w:val="14"/>
          <w:rFonts w:hint="eastAsia" w:ascii="仿宋" w:hAnsi="仿宋" w:eastAsia="仿宋"/>
          <w:b w:val="0"/>
          <w:bCs/>
          <w:sz w:val="32"/>
          <w:szCs w:val="32"/>
        </w:rPr>
        <w:t>支出决算为0万元。</w:t>
      </w:r>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4.</w:t>
      </w:r>
      <w:r>
        <w:rPr>
          <w:rStyle w:val="14"/>
          <w:rFonts w:hint="eastAsia" w:ascii="仿宋" w:hAnsi="仿宋" w:eastAsia="仿宋"/>
          <w:bCs/>
          <w:sz w:val="32"/>
          <w:szCs w:val="32"/>
        </w:rPr>
        <w:t>文化体育与传媒</w:t>
      </w:r>
      <w:r>
        <w:rPr>
          <w:rStyle w:val="14"/>
          <w:rFonts w:ascii="仿宋" w:hAnsi="仿宋" w:eastAsia="仿宋"/>
          <w:bCs/>
          <w:sz w:val="32"/>
          <w:szCs w:val="32"/>
        </w:rPr>
        <w:t>:</w:t>
      </w:r>
      <w:r>
        <w:rPr>
          <w:rStyle w:val="14"/>
          <w:rFonts w:hint="eastAsia" w:ascii="仿宋" w:hAnsi="仿宋" w:eastAsia="仿宋"/>
          <w:b w:val="0"/>
          <w:bCs/>
          <w:sz w:val="32"/>
          <w:szCs w:val="32"/>
        </w:rPr>
        <w:t>支出决算为0万元。</w:t>
      </w:r>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5.</w:t>
      </w:r>
      <w:r>
        <w:rPr>
          <w:rStyle w:val="14"/>
          <w:rFonts w:hint="eastAsia" w:ascii="仿宋" w:hAnsi="仿宋" w:eastAsia="仿宋"/>
          <w:bCs/>
          <w:sz w:val="32"/>
          <w:szCs w:val="32"/>
        </w:rPr>
        <w:t>社会保障和就业</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88.11</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6.</w:t>
      </w:r>
      <w:r>
        <w:rPr>
          <w:rStyle w:val="14"/>
          <w:rFonts w:hint="eastAsia" w:ascii="仿宋" w:hAnsi="仿宋" w:eastAsia="仿宋"/>
          <w:bCs/>
          <w:sz w:val="32"/>
          <w:szCs w:val="32"/>
        </w:rPr>
        <w:t>医疗卫生与计划生育</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41.46</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703" w:firstLineChars="250"/>
        <w:rPr>
          <w:rFonts w:ascii="仿宋" w:hAnsi="仿宋" w:eastAsia="仿宋"/>
          <w:sz w:val="32"/>
          <w:szCs w:val="32"/>
        </w:rPr>
      </w:pPr>
      <w:r>
        <w:rPr>
          <w:rFonts w:hint="eastAsia" w:ascii="宋体" w:hAnsi="宋体"/>
          <w:b/>
          <w:sz w:val="28"/>
          <w:szCs w:val="28"/>
        </w:rPr>
        <w:t>7.</w:t>
      </w:r>
      <w:r>
        <w:rPr>
          <w:rFonts w:hint="eastAsia" w:ascii="仿宋" w:hAnsi="仿宋" w:eastAsia="仿宋"/>
          <w:b/>
          <w:sz w:val="32"/>
          <w:szCs w:val="32"/>
        </w:rPr>
        <w:t>住房保障支出：</w:t>
      </w:r>
      <w:r>
        <w:rPr>
          <w:rFonts w:hint="eastAsia" w:ascii="仿宋" w:hAnsi="仿宋" w:eastAsia="仿宋"/>
          <w:sz w:val="32"/>
          <w:szCs w:val="32"/>
        </w:rPr>
        <w:t>支出决算为</w:t>
      </w:r>
      <w:r>
        <w:rPr>
          <w:rFonts w:hint="eastAsia" w:ascii="仿宋" w:hAnsi="仿宋" w:eastAsia="仿宋"/>
          <w:sz w:val="32"/>
          <w:szCs w:val="32"/>
          <w:lang w:val="en-US" w:eastAsia="zh-CN"/>
        </w:rPr>
        <w:t>63.23</w:t>
      </w:r>
      <w:r>
        <w:rPr>
          <w:rFonts w:hint="eastAsia" w:ascii="仿宋" w:hAnsi="仿宋" w:eastAsia="仿宋"/>
          <w:sz w:val="32"/>
          <w:szCs w:val="32"/>
        </w:rPr>
        <w:t>万元。完成预算的100%。</w:t>
      </w: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987.27</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lang w:eastAsia="zh-CN"/>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905.02</w:t>
      </w:r>
      <w:r>
        <w:rPr>
          <w:rFonts w:hint="eastAsia" w:ascii="仿宋" w:hAnsi="仿宋" w:eastAsia="仿宋"/>
          <w:color w:val="000000"/>
          <w:sz w:val="32"/>
          <w:szCs w:val="32"/>
        </w:rPr>
        <w:t>万元，主要包括：基本工资</w:t>
      </w:r>
      <w:r>
        <w:rPr>
          <w:rFonts w:hint="eastAsia" w:ascii="仿宋" w:hAnsi="仿宋" w:eastAsia="仿宋"/>
          <w:color w:val="000000"/>
          <w:sz w:val="32"/>
          <w:szCs w:val="32"/>
          <w:lang w:val="en-US" w:eastAsia="zh-CN"/>
        </w:rPr>
        <w:t>318.13</w:t>
      </w:r>
      <w:r>
        <w:rPr>
          <w:rFonts w:hint="eastAsia" w:ascii="仿宋" w:hAnsi="仿宋" w:eastAsia="仿宋"/>
          <w:color w:val="000000"/>
          <w:sz w:val="32"/>
          <w:szCs w:val="32"/>
        </w:rPr>
        <w:t>万元、津贴补贴</w:t>
      </w:r>
      <w:r>
        <w:rPr>
          <w:rFonts w:hint="eastAsia" w:ascii="仿宋" w:hAnsi="仿宋" w:eastAsia="仿宋"/>
          <w:color w:val="000000"/>
          <w:sz w:val="32"/>
          <w:szCs w:val="32"/>
          <w:lang w:val="en-US" w:eastAsia="zh-CN"/>
        </w:rPr>
        <w:t>7.87</w:t>
      </w:r>
      <w:r>
        <w:rPr>
          <w:rFonts w:hint="eastAsia" w:ascii="仿宋" w:hAnsi="仿宋" w:eastAsia="仿宋"/>
          <w:color w:val="000000"/>
          <w:sz w:val="32"/>
          <w:szCs w:val="32"/>
        </w:rPr>
        <w:t>万元、绩效工资</w:t>
      </w:r>
      <w:r>
        <w:rPr>
          <w:rFonts w:hint="eastAsia" w:ascii="仿宋" w:hAnsi="仿宋" w:eastAsia="仿宋"/>
          <w:color w:val="000000"/>
          <w:sz w:val="32"/>
          <w:szCs w:val="32"/>
          <w:lang w:val="en-US" w:eastAsia="zh-CN"/>
        </w:rPr>
        <w:t>212.38</w:t>
      </w:r>
      <w:r>
        <w:rPr>
          <w:rFonts w:hint="eastAsia" w:ascii="仿宋" w:hAnsi="仿宋" w:eastAsia="仿宋"/>
          <w:color w:val="000000"/>
          <w:sz w:val="32"/>
          <w:szCs w:val="32"/>
        </w:rPr>
        <w:t>万元、机关事业单位基本养老保险缴费</w:t>
      </w:r>
      <w:r>
        <w:rPr>
          <w:rFonts w:hint="eastAsia" w:ascii="仿宋" w:hAnsi="仿宋" w:eastAsia="仿宋"/>
          <w:color w:val="000000"/>
          <w:sz w:val="32"/>
          <w:szCs w:val="32"/>
          <w:lang w:val="en-US" w:eastAsia="zh-CN"/>
        </w:rPr>
        <w:t>83.47</w:t>
      </w:r>
      <w:r>
        <w:rPr>
          <w:rFonts w:hint="eastAsia" w:ascii="仿宋" w:hAnsi="仿宋" w:eastAsia="仿宋"/>
          <w:color w:val="000000"/>
          <w:sz w:val="32"/>
          <w:szCs w:val="32"/>
        </w:rPr>
        <w:t>万元、职工基本医疗保险缴费</w:t>
      </w:r>
      <w:r>
        <w:rPr>
          <w:rFonts w:hint="eastAsia" w:ascii="仿宋" w:hAnsi="仿宋" w:eastAsia="仿宋"/>
          <w:color w:val="000000"/>
          <w:sz w:val="32"/>
          <w:szCs w:val="32"/>
          <w:lang w:val="en-US" w:eastAsia="zh-CN"/>
        </w:rPr>
        <w:t>41.46</w:t>
      </w:r>
      <w:r>
        <w:rPr>
          <w:rFonts w:hint="eastAsia" w:ascii="仿宋" w:hAnsi="仿宋" w:eastAsia="仿宋"/>
          <w:color w:val="000000"/>
          <w:sz w:val="32"/>
          <w:szCs w:val="32"/>
        </w:rPr>
        <w:t>万元、其他社会保障缴费</w:t>
      </w:r>
      <w:r>
        <w:rPr>
          <w:rFonts w:hint="eastAsia" w:ascii="仿宋" w:hAnsi="仿宋" w:eastAsia="仿宋"/>
          <w:color w:val="000000"/>
          <w:sz w:val="32"/>
          <w:szCs w:val="32"/>
          <w:lang w:val="en-US" w:eastAsia="zh-CN"/>
        </w:rPr>
        <w:t>15.21</w:t>
      </w:r>
      <w:r>
        <w:rPr>
          <w:rFonts w:hint="eastAsia" w:ascii="仿宋" w:hAnsi="仿宋" w:eastAsia="仿宋"/>
          <w:color w:val="000000"/>
          <w:sz w:val="32"/>
          <w:szCs w:val="32"/>
        </w:rPr>
        <w:t>万元、生活补助</w:t>
      </w:r>
      <w:r>
        <w:rPr>
          <w:rFonts w:hint="eastAsia" w:ascii="仿宋" w:hAnsi="仿宋" w:eastAsia="仿宋"/>
          <w:color w:val="000000"/>
          <w:sz w:val="32"/>
          <w:szCs w:val="32"/>
          <w:lang w:val="en-US" w:eastAsia="zh-CN"/>
        </w:rPr>
        <w:t>133.88</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抚恤金4.64</w:t>
      </w:r>
      <w:r>
        <w:rPr>
          <w:rFonts w:hint="eastAsia" w:ascii="仿宋" w:hAnsi="仿宋" w:eastAsia="仿宋"/>
          <w:color w:val="000000"/>
          <w:sz w:val="32"/>
          <w:szCs w:val="32"/>
        </w:rPr>
        <w:t>万元、奖励金</w:t>
      </w:r>
      <w:r>
        <w:rPr>
          <w:rFonts w:hint="eastAsia" w:ascii="仿宋" w:hAnsi="仿宋" w:eastAsia="仿宋"/>
          <w:color w:val="000000"/>
          <w:sz w:val="32"/>
          <w:szCs w:val="32"/>
          <w:lang w:val="en-US" w:eastAsia="zh-CN"/>
        </w:rPr>
        <w:t>24.75</w:t>
      </w:r>
      <w:r>
        <w:rPr>
          <w:rFonts w:hint="eastAsia" w:ascii="仿宋" w:hAnsi="仿宋" w:eastAsia="仿宋"/>
          <w:color w:val="000000"/>
          <w:sz w:val="32"/>
          <w:szCs w:val="32"/>
        </w:rPr>
        <w:t>万元、住房公积金</w:t>
      </w:r>
      <w:r>
        <w:rPr>
          <w:rFonts w:hint="eastAsia" w:ascii="仿宋" w:hAnsi="仿宋" w:eastAsia="仿宋"/>
          <w:color w:val="000000"/>
          <w:sz w:val="32"/>
          <w:szCs w:val="32"/>
          <w:lang w:val="en-US" w:eastAsia="zh-CN"/>
        </w:rPr>
        <w:t>63.23</w:t>
      </w:r>
      <w:r>
        <w:rPr>
          <w:rFonts w:hint="eastAsia" w:ascii="仿宋" w:hAnsi="仿宋" w:eastAsia="仿宋"/>
          <w:color w:val="000000"/>
          <w:sz w:val="32"/>
          <w:szCs w:val="32"/>
        </w:rPr>
        <w:t>万元。</w:t>
      </w:r>
    </w:p>
    <w:p>
      <w:pPr>
        <w:spacing w:line="600" w:lineRule="exact"/>
        <w:ind w:firstLine="645"/>
        <w:rPr>
          <w:rFonts w:hint="eastAsia" w:ascii="仿宋" w:hAnsi="仿宋" w:eastAsia="仿宋"/>
          <w:color w:val="000000"/>
          <w:sz w:val="32"/>
          <w:szCs w:val="32"/>
          <w:lang w:eastAsia="zh-CN"/>
        </w:rPr>
      </w:pP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82.25</w:t>
      </w:r>
      <w:r>
        <w:rPr>
          <w:rFonts w:hint="eastAsia" w:ascii="仿宋" w:hAnsi="仿宋" w:eastAsia="仿宋"/>
          <w:color w:val="000000"/>
          <w:sz w:val="32"/>
          <w:szCs w:val="32"/>
        </w:rPr>
        <w:t>万元，主要包括：办公费</w:t>
      </w:r>
      <w:r>
        <w:rPr>
          <w:rFonts w:hint="eastAsia" w:ascii="仿宋" w:hAnsi="仿宋" w:eastAsia="仿宋"/>
          <w:color w:val="000000"/>
          <w:sz w:val="32"/>
          <w:szCs w:val="32"/>
          <w:lang w:val="en-US" w:eastAsia="zh-CN"/>
        </w:rPr>
        <w:t>16.93</w:t>
      </w:r>
      <w:r>
        <w:rPr>
          <w:rFonts w:hint="eastAsia" w:ascii="仿宋" w:hAnsi="仿宋" w:eastAsia="仿宋"/>
          <w:color w:val="000000"/>
          <w:sz w:val="32"/>
          <w:szCs w:val="32"/>
        </w:rPr>
        <w:t>万元、印刷费</w:t>
      </w:r>
      <w:r>
        <w:rPr>
          <w:rFonts w:hint="eastAsia" w:ascii="仿宋" w:hAnsi="仿宋" w:eastAsia="仿宋"/>
          <w:color w:val="000000"/>
          <w:sz w:val="32"/>
          <w:szCs w:val="32"/>
          <w:lang w:val="en-US" w:eastAsia="zh-CN"/>
        </w:rPr>
        <w:t>3.28</w:t>
      </w:r>
      <w:r>
        <w:rPr>
          <w:rFonts w:hint="eastAsia" w:ascii="仿宋" w:hAnsi="仿宋" w:eastAsia="仿宋"/>
          <w:color w:val="000000"/>
          <w:sz w:val="32"/>
          <w:szCs w:val="32"/>
        </w:rPr>
        <w:t>万元、水费</w:t>
      </w:r>
      <w:r>
        <w:rPr>
          <w:rFonts w:hint="eastAsia" w:ascii="仿宋" w:hAnsi="仿宋" w:eastAsia="仿宋"/>
          <w:color w:val="000000"/>
          <w:sz w:val="32"/>
          <w:szCs w:val="32"/>
          <w:lang w:val="en-US" w:eastAsia="zh-CN"/>
        </w:rPr>
        <w:t>1.57</w:t>
      </w:r>
      <w:r>
        <w:rPr>
          <w:rFonts w:hint="eastAsia" w:ascii="仿宋" w:hAnsi="仿宋" w:eastAsia="仿宋"/>
          <w:color w:val="000000"/>
          <w:sz w:val="32"/>
          <w:szCs w:val="32"/>
        </w:rPr>
        <w:t>万元、电费</w:t>
      </w:r>
      <w:r>
        <w:rPr>
          <w:rFonts w:hint="eastAsia" w:ascii="仿宋" w:hAnsi="仿宋" w:eastAsia="仿宋"/>
          <w:color w:val="000000"/>
          <w:sz w:val="32"/>
          <w:szCs w:val="32"/>
          <w:lang w:val="en-US" w:eastAsia="zh-CN"/>
        </w:rPr>
        <w:t>4.09</w:t>
      </w:r>
      <w:r>
        <w:rPr>
          <w:rFonts w:hint="eastAsia" w:ascii="仿宋" w:hAnsi="仿宋" w:eastAsia="仿宋"/>
          <w:color w:val="000000"/>
          <w:sz w:val="32"/>
          <w:szCs w:val="32"/>
        </w:rPr>
        <w:t>万元、邮电费</w:t>
      </w:r>
      <w:r>
        <w:rPr>
          <w:rFonts w:hint="eastAsia" w:ascii="仿宋" w:hAnsi="仿宋" w:eastAsia="仿宋"/>
          <w:color w:val="000000"/>
          <w:sz w:val="32"/>
          <w:szCs w:val="32"/>
          <w:lang w:val="en-US" w:eastAsia="zh-CN"/>
        </w:rPr>
        <w:t>1.33</w:t>
      </w:r>
      <w:r>
        <w:rPr>
          <w:rFonts w:hint="eastAsia" w:ascii="仿宋" w:hAnsi="仿宋" w:eastAsia="仿宋"/>
          <w:color w:val="000000"/>
          <w:sz w:val="32"/>
          <w:szCs w:val="32"/>
        </w:rPr>
        <w:t>万元、物业管理费</w:t>
      </w:r>
      <w:r>
        <w:rPr>
          <w:rFonts w:hint="eastAsia" w:ascii="仿宋" w:hAnsi="仿宋" w:eastAsia="仿宋"/>
          <w:color w:val="000000"/>
          <w:sz w:val="32"/>
          <w:szCs w:val="32"/>
          <w:lang w:val="en-US" w:eastAsia="zh-CN"/>
        </w:rPr>
        <w:t>11.64</w:t>
      </w:r>
      <w:r>
        <w:rPr>
          <w:rFonts w:hint="eastAsia" w:ascii="仿宋" w:hAnsi="仿宋" w:eastAsia="仿宋"/>
          <w:color w:val="000000"/>
          <w:sz w:val="32"/>
          <w:szCs w:val="32"/>
        </w:rPr>
        <w:t>万元、差旅费</w:t>
      </w:r>
      <w:r>
        <w:rPr>
          <w:rFonts w:hint="eastAsia" w:ascii="仿宋" w:hAnsi="仿宋" w:eastAsia="仿宋"/>
          <w:color w:val="000000"/>
          <w:sz w:val="32"/>
          <w:szCs w:val="32"/>
          <w:lang w:val="en-US" w:eastAsia="zh-CN"/>
        </w:rPr>
        <w:t>4.79</w:t>
      </w:r>
      <w:r>
        <w:rPr>
          <w:rFonts w:hint="eastAsia" w:ascii="仿宋" w:hAnsi="仿宋" w:eastAsia="仿宋"/>
          <w:color w:val="000000"/>
          <w:sz w:val="32"/>
          <w:szCs w:val="32"/>
        </w:rPr>
        <w:t>万元、维修（护）费</w:t>
      </w:r>
      <w:r>
        <w:rPr>
          <w:rFonts w:hint="eastAsia" w:ascii="仿宋" w:hAnsi="仿宋" w:eastAsia="仿宋"/>
          <w:color w:val="000000"/>
          <w:sz w:val="32"/>
          <w:szCs w:val="32"/>
          <w:lang w:val="en-US" w:eastAsia="zh-CN"/>
        </w:rPr>
        <w:t>8.77</w:t>
      </w:r>
      <w:r>
        <w:rPr>
          <w:rFonts w:hint="eastAsia" w:ascii="仿宋" w:hAnsi="仿宋" w:eastAsia="仿宋"/>
          <w:color w:val="000000"/>
          <w:sz w:val="32"/>
          <w:szCs w:val="32"/>
        </w:rPr>
        <w:t>万元、会议费</w:t>
      </w:r>
      <w:r>
        <w:rPr>
          <w:rFonts w:hint="eastAsia" w:ascii="仿宋" w:hAnsi="仿宋" w:eastAsia="仿宋"/>
          <w:color w:val="000000"/>
          <w:sz w:val="32"/>
          <w:szCs w:val="32"/>
          <w:lang w:val="en-US" w:eastAsia="zh-CN"/>
        </w:rPr>
        <w:t>1.37</w:t>
      </w:r>
      <w:r>
        <w:rPr>
          <w:rFonts w:hint="eastAsia" w:ascii="仿宋" w:hAnsi="仿宋" w:eastAsia="仿宋"/>
          <w:color w:val="000000"/>
          <w:sz w:val="32"/>
          <w:szCs w:val="32"/>
        </w:rPr>
        <w:t>万元、培训费</w:t>
      </w:r>
      <w:r>
        <w:rPr>
          <w:rFonts w:hint="eastAsia" w:ascii="仿宋" w:hAnsi="仿宋" w:eastAsia="仿宋"/>
          <w:color w:val="000000"/>
          <w:sz w:val="32"/>
          <w:szCs w:val="32"/>
          <w:lang w:val="en-US" w:eastAsia="zh-CN"/>
        </w:rPr>
        <w:t>4.15</w:t>
      </w:r>
      <w:r>
        <w:rPr>
          <w:rFonts w:hint="eastAsia" w:ascii="仿宋" w:hAnsi="仿宋" w:eastAsia="仿宋"/>
          <w:color w:val="000000"/>
          <w:sz w:val="32"/>
          <w:szCs w:val="32"/>
        </w:rPr>
        <w:t>万元、公务接待费0.7</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万元、专用材料费</w:t>
      </w:r>
      <w:r>
        <w:rPr>
          <w:rFonts w:hint="eastAsia" w:ascii="仿宋" w:hAnsi="仿宋" w:eastAsia="仿宋"/>
          <w:color w:val="000000"/>
          <w:sz w:val="32"/>
          <w:szCs w:val="32"/>
          <w:lang w:val="en-US" w:eastAsia="zh-CN"/>
        </w:rPr>
        <w:t>4.97</w:t>
      </w:r>
      <w:r>
        <w:rPr>
          <w:rFonts w:hint="eastAsia" w:ascii="仿宋" w:hAnsi="仿宋" w:eastAsia="仿宋"/>
          <w:color w:val="000000"/>
          <w:sz w:val="32"/>
          <w:szCs w:val="32"/>
        </w:rPr>
        <w:t>万元、劳务费</w:t>
      </w:r>
      <w:r>
        <w:rPr>
          <w:rFonts w:hint="eastAsia" w:ascii="仿宋" w:hAnsi="仿宋" w:eastAsia="仿宋"/>
          <w:color w:val="000000"/>
          <w:sz w:val="32"/>
          <w:szCs w:val="32"/>
          <w:lang w:val="en-US" w:eastAsia="zh-CN"/>
        </w:rPr>
        <w:t>8.35</w:t>
      </w:r>
      <w:r>
        <w:rPr>
          <w:rFonts w:hint="eastAsia" w:ascii="仿宋" w:hAnsi="仿宋" w:eastAsia="仿宋"/>
          <w:color w:val="000000"/>
          <w:sz w:val="32"/>
          <w:szCs w:val="32"/>
        </w:rPr>
        <w:t>万元、工会经费4万元、福利费</w:t>
      </w:r>
      <w:r>
        <w:rPr>
          <w:rFonts w:hint="eastAsia" w:ascii="仿宋" w:hAnsi="仿宋" w:eastAsia="仿宋"/>
          <w:color w:val="000000"/>
          <w:sz w:val="32"/>
          <w:szCs w:val="32"/>
          <w:lang w:val="en-US" w:eastAsia="zh-CN"/>
        </w:rPr>
        <w:t>3.87</w:t>
      </w:r>
      <w:r>
        <w:rPr>
          <w:rFonts w:hint="eastAsia" w:ascii="仿宋" w:hAnsi="仿宋" w:eastAsia="仿宋"/>
          <w:color w:val="000000"/>
          <w:sz w:val="32"/>
          <w:szCs w:val="32"/>
        </w:rPr>
        <w:t>万元、其他商品和服务支出</w:t>
      </w:r>
      <w:r>
        <w:rPr>
          <w:rFonts w:hint="eastAsia" w:ascii="仿宋" w:hAnsi="仿宋" w:eastAsia="仿宋"/>
          <w:color w:val="000000"/>
          <w:sz w:val="32"/>
          <w:szCs w:val="32"/>
          <w:lang w:val="en-US" w:eastAsia="zh-CN"/>
        </w:rPr>
        <w:t>2.38</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p>
    <w:p>
      <w:pPr>
        <w:spacing w:line="600" w:lineRule="exact"/>
        <w:outlineLvl w:val="1"/>
        <w:rPr>
          <w:rStyle w:val="25"/>
          <w:rFonts w:ascii="黑体" w:hAnsi="黑体" w:eastAsia="黑体"/>
          <w:b w:val="0"/>
        </w:rPr>
      </w:pPr>
      <w:bookmarkStart w:id="42" w:name="_Toc15396609"/>
      <w:bookmarkStart w:id="43" w:name="_Toc15377215"/>
      <w:r>
        <w:rPr>
          <w:rFonts w:hint="eastAsia" w:ascii="黑体" w:eastAsia="黑体"/>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472" w:firstLineChars="147"/>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年“三公”经费财政拨款支出决算为0.7</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472" w:firstLineChars="147"/>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；公务接待费支出决算0.7</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tabs>
          <w:tab w:val="left" w:pos="3015"/>
        </w:tabs>
        <w:ind w:firstLine="1600" w:firstLineChars="500"/>
      </w:pPr>
      <w:r>
        <w:rPr>
          <w:rFonts w:hint="eastAsia" w:ascii="仿宋" w:hAnsi="仿宋" w:eastAsia="仿宋"/>
          <w:color w:val="000000"/>
          <w:sz w:val="32"/>
          <w:szCs w:val="32"/>
        </w:rPr>
        <w:drawing>
          <wp:anchor distT="0" distB="0" distL="114300" distR="114300" simplePos="0" relativeHeight="251663360" behindDoc="0" locked="0" layoutInCell="1" allowOverlap="1">
            <wp:simplePos x="0" y="0"/>
            <wp:positionH relativeFrom="column">
              <wp:posOffset>342900</wp:posOffset>
            </wp:positionH>
            <wp:positionV relativeFrom="paragraph">
              <wp:posOffset>419100</wp:posOffset>
            </wp:positionV>
            <wp:extent cx="4533900" cy="3171825"/>
            <wp:effectExtent l="19050" t="0" r="19050" b="0"/>
            <wp:wrapTopAndBottom/>
            <wp:docPr id="2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olor w:val="000000"/>
          <w:sz w:val="32"/>
          <w:szCs w:val="32"/>
        </w:rPr>
        <w:t>“三公”经费财政拨款支出结构</w:t>
      </w:r>
    </w:p>
    <w:p>
      <w:pPr>
        <w:spacing w:line="600" w:lineRule="exact"/>
        <w:ind w:firstLine="630" w:firstLineChars="196"/>
        <w:rPr>
          <w:rFonts w:ascii="FangSong_GB2312" w:eastAsia="FangSong_GB2312"/>
          <w:b/>
          <w:color w:val="000000"/>
          <w:sz w:val="32"/>
          <w:szCs w:val="32"/>
        </w:rPr>
      </w:pPr>
      <w:r>
        <w:rPr>
          <w:rFonts w:ascii="FangSong_GB2312" w:eastAsia="FangSong_GB2312"/>
          <w:b/>
          <w:color w:val="000000"/>
          <w:sz w:val="32"/>
          <w:szCs w:val="32"/>
        </w:rPr>
        <w:t>1.</w:t>
      </w:r>
      <w:r>
        <w:rPr>
          <w:rFonts w:hint="eastAsia" w:ascii="FangSong_GB2312" w:eastAsia="FangSong_GB2312"/>
          <w:b/>
          <w:color w:val="000000"/>
          <w:sz w:val="32"/>
          <w:szCs w:val="32"/>
        </w:rPr>
        <w:t>因公出国（境）经费支出</w:t>
      </w:r>
      <w:r>
        <w:rPr>
          <w:rFonts w:hint="eastAsia" w:ascii="FangSong_GB2312" w:eastAsiaTheme="minorEastAsia"/>
          <w:color w:val="000000"/>
          <w:sz w:val="32"/>
          <w:szCs w:val="32"/>
        </w:rPr>
        <w:t>0</w:t>
      </w:r>
      <w:r>
        <w:rPr>
          <w:rFonts w:hint="eastAsia" w:ascii="FangSong_GB2312" w:eastAsia="FangSong_GB2312"/>
          <w:color w:val="000000"/>
          <w:sz w:val="32"/>
          <w:szCs w:val="32"/>
        </w:rPr>
        <w:t>万元。</w:t>
      </w:r>
    </w:p>
    <w:p>
      <w:pPr>
        <w:spacing w:line="600" w:lineRule="exact"/>
        <w:ind w:firstLine="630" w:firstLineChars="196"/>
        <w:rPr>
          <w:rFonts w:ascii="FangSong_GB2312" w:eastAsia="FangSong_GB2312"/>
          <w:b/>
          <w:color w:val="000000"/>
          <w:sz w:val="32"/>
          <w:szCs w:val="32"/>
        </w:rPr>
      </w:pPr>
      <w:r>
        <w:rPr>
          <w:rFonts w:ascii="FangSong_GB2312" w:eastAsia="FangSong_GB2312"/>
          <w:b/>
          <w:color w:val="000000"/>
          <w:sz w:val="32"/>
          <w:szCs w:val="32"/>
        </w:rPr>
        <w:t>2.</w:t>
      </w:r>
      <w:r>
        <w:rPr>
          <w:rFonts w:hint="eastAsia" w:ascii="FangSong_GB2312" w:eastAsia="FangSong_GB2312"/>
          <w:b/>
          <w:color w:val="000000"/>
          <w:sz w:val="32"/>
          <w:szCs w:val="32"/>
        </w:rPr>
        <w:t>公务用车购置及运行维护费支出</w:t>
      </w:r>
      <w:r>
        <w:rPr>
          <w:rFonts w:hint="eastAsia" w:ascii="FangSong_GB2312" w:eastAsiaTheme="minorEastAsia"/>
          <w:color w:val="000000"/>
          <w:sz w:val="32"/>
          <w:szCs w:val="32"/>
        </w:rPr>
        <w:t>0</w:t>
      </w:r>
      <w:r>
        <w:rPr>
          <w:rFonts w:hint="eastAsia" w:ascii="FangSong_GB2312" w:eastAsia="FangSong_GB2312"/>
          <w:color w:val="000000"/>
          <w:sz w:val="32"/>
          <w:szCs w:val="32"/>
        </w:rPr>
        <w:t>万元</w:t>
      </w:r>
      <w:r>
        <w:rPr>
          <w:rStyle w:val="14"/>
          <w:rFonts w:hint="eastAsia" w:ascii="仿宋" w:hAnsi="仿宋" w:eastAsia="仿宋"/>
          <w:b w:val="0"/>
          <w:bCs/>
          <w:color w:val="000000"/>
          <w:sz w:val="32"/>
          <w:szCs w:val="32"/>
        </w:rPr>
        <w:t>。</w:t>
      </w:r>
    </w:p>
    <w:p>
      <w:pPr>
        <w:spacing w:line="600" w:lineRule="exact"/>
        <w:ind w:firstLine="640"/>
        <w:rPr>
          <w:rFonts w:ascii="FangSong_GB2312" w:eastAsia="FangSong_GB2312"/>
          <w:color w:val="000000"/>
          <w:sz w:val="32"/>
          <w:szCs w:val="32"/>
        </w:rPr>
      </w:pPr>
      <w:r>
        <w:rPr>
          <w:rFonts w:ascii="FangSong_GB2312" w:eastAsia="FangSong_GB2312"/>
          <w:b/>
          <w:color w:val="000000"/>
          <w:sz w:val="32"/>
          <w:szCs w:val="32"/>
        </w:rPr>
        <w:t>3.</w:t>
      </w:r>
      <w:r>
        <w:rPr>
          <w:rFonts w:hint="eastAsia" w:ascii="FangSong_GB2312" w:eastAsia="FangSong_GB2312"/>
          <w:b/>
          <w:color w:val="000000"/>
          <w:sz w:val="32"/>
          <w:szCs w:val="32"/>
        </w:rPr>
        <w:t>公务接待费支出</w:t>
      </w:r>
      <w:r>
        <w:rPr>
          <w:rFonts w:hint="eastAsia" w:ascii="FangSong_GB2312" w:eastAsiaTheme="minorEastAsia"/>
          <w:color w:val="000000"/>
          <w:sz w:val="32"/>
          <w:szCs w:val="32"/>
        </w:rPr>
        <w:t>0.7</w:t>
      </w:r>
      <w:r>
        <w:rPr>
          <w:rFonts w:hint="eastAsia" w:ascii="FangSong_GB2312" w:eastAsiaTheme="minorEastAsia"/>
          <w:color w:val="000000"/>
          <w:sz w:val="32"/>
          <w:szCs w:val="32"/>
          <w:lang w:val="en-US" w:eastAsia="zh-CN"/>
        </w:rPr>
        <w:t>6</w:t>
      </w:r>
      <w:r>
        <w:rPr>
          <w:rFonts w:hint="eastAsia" w:ascii="FangSong_GB2312" w:eastAsia="FangSong_GB2312"/>
          <w:color w:val="000000"/>
          <w:sz w:val="32"/>
          <w:szCs w:val="32"/>
        </w:rPr>
        <w:t>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FangSong_GB2312" w:eastAsia="FangSong_GB2312"/>
          <w:color w:val="000000"/>
          <w:sz w:val="32"/>
          <w:szCs w:val="32"/>
        </w:rPr>
        <w:t>公务接待费支出决算比</w:t>
      </w:r>
      <w:r>
        <w:rPr>
          <w:rFonts w:ascii="FangSong_GB2312" w:eastAsia="FangSong_GB2312"/>
          <w:color w:val="000000"/>
          <w:sz w:val="32"/>
          <w:szCs w:val="32"/>
        </w:rPr>
        <w:t>201</w:t>
      </w:r>
      <w:r>
        <w:rPr>
          <w:rFonts w:hint="eastAsia" w:ascii="FangSong_GB2312" w:eastAsiaTheme="minorEastAsia"/>
          <w:color w:val="000000"/>
          <w:sz w:val="32"/>
          <w:szCs w:val="32"/>
          <w:lang w:val="en-US" w:eastAsia="zh-CN"/>
        </w:rPr>
        <w:t>9</w:t>
      </w:r>
      <w:r>
        <w:rPr>
          <w:rFonts w:hint="eastAsia" w:ascii="FangSong_GB2312" w:eastAsia="FangSong_GB2312"/>
          <w:color w:val="000000"/>
          <w:sz w:val="32"/>
          <w:szCs w:val="32"/>
        </w:rPr>
        <w:t>年减少</w:t>
      </w:r>
      <w:r>
        <w:rPr>
          <w:rFonts w:hint="eastAsia" w:ascii="FangSong_GB2312" w:eastAsiaTheme="minorEastAsia"/>
          <w:color w:val="000000"/>
          <w:sz w:val="32"/>
          <w:szCs w:val="32"/>
        </w:rPr>
        <w:t>0.01</w:t>
      </w:r>
      <w:r>
        <w:rPr>
          <w:rFonts w:hint="eastAsia" w:ascii="FangSong_GB2312" w:eastAsia="FangSong_GB2312"/>
          <w:color w:val="000000"/>
          <w:sz w:val="32"/>
          <w:szCs w:val="32"/>
        </w:rPr>
        <w:t>万元，下降</w:t>
      </w:r>
      <w:r>
        <w:rPr>
          <w:rFonts w:hint="eastAsia" w:ascii="FangSong_GB2312" w:eastAsiaTheme="minorEastAsia"/>
          <w:color w:val="000000"/>
          <w:sz w:val="32"/>
          <w:szCs w:val="32"/>
        </w:rPr>
        <w:t>1.</w:t>
      </w:r>
      <w:r>
        <w:rPr>
          <w:rFonts w:hint="eastAsia" w:ascii="FangSong_GB2312" w:eastAsiaTheme="minorEastAsia"/>
          <w:color w:val="000000"/>
          <w:sz w:val="32"/>
          <w:szCs w:val="32"/>
          <w:lang w:val="en-US" w:eastAsia="zh-CN"/>
        </w:rPr>
        <w:t>30</w:t>
      </w:r>
      <w:r>
        <w:rPr>
          <w:rFonts w:ascii="FangSong_GB2312" w:eastAsia="FangSong_GB2312"/>
          <w:color w:val="000000"/>
          <w:sz w:val="32"/>
          <w:szCs w:val="32"/>
        </w:rPr>
        <w:t>%</w:t>
      </w:r>
      <w:r>
        <w:rPr>
          <w:rFonts w:hint="eastAsia" w:ascii="FangSong_GB2312" w:eastAsia="FangSong_GB2312"/>
          <w:color w:val="000000"/>
          <w:sz w:val="32"/>
          <w:szCs w:val="32"/>
        </w:rPr>
        <w:t>。主要原因是厉行节约。</w:t>
      </w:r>
    </w:p>
    <w:p>
      <w:pPr>
        <w:spacing w:line="600" w:lineRule="exact"/>
        <w:rPr>
          <w:rFonts w:ascii="仿宋_GB2312" w:eastAsia="仿宋_GB2312"/>
          <w:color w:val="000000"/>
          <w:sz w:val="32"/>
          <w:szCs w:val="32"/>
        </w:rPr>
      </w:pPr>
      <w:r>
        <w:rPr>
          <w:rFonts w:hint="eastAsia" w:ascii="FangSong_GB2312" w:eastAsiaTheme="minorEastAsia"/>
          <w:color w:val="000000"/>
          <w:sz w:val="32"/>
          <w:szCs w:val="32"/>
        </w:rPr>
        <w:t xml:space="preserve">    </w:t>
      </w:r>
      <w:r>
        <w:rPr>
          <w:rFonts w:hint="eastAsia" w:ascii="FangSong_GB2312" w:eastAsia="FangSong_GB2312"/>
          <w:color w:val="000000"/>
          <w:sz w:val="32"/>
          <w:szCs w:val="32"/>
        </w:rPr>
        <w:t>主要用于执行公务、开展业务活动开支的交通费、住宿费、用餐费等。国内公务接待</w:t>
      </w:r>
      <w:r>
        <w:rPr>
          <w:rFonts w:hint="eastAsia" w:ascii="FangSong_GB2312" w:eastAsiaTheme="minorEastAsia"/>
          <w:color w:val="000000"/>
          <w:sz w:val="32"/>
          <w:szCs w:val="32"/>
          <w:lang w:val="en-US" w:eastAsia="zh-CN"/>
        </w:rPr>
        <w:t>18</w:t>
      </w:r>
      <w:r>
        <w:rPr>
          <w:rFonts w:hint="eastAsia" w:ascii="FangSong_GB2312" w:eastAsia="FangSong_GB2312"/>
          <w:color w:val="000000"/>
          <w:sz w:val="32"/>
          <w:szCs w:val="32"/>
        </w:rPr>
        <w:t>批次，</w:t>
      </w:r>
      <w:r>
        <w:rPr>
          <w:rFonts w:hint="eastAsia" w:ascii="FangSong_GB2312" w:eastAsiaTheme="minorEastAsia"/>
          <w:color w:val="000000"/>
          <w:sz w:val="32"/>
          <w:szCs w:val="32"/>
          <w:lang w:val="en-US" w:eastAsia="zh-CN"/>
        </w:rPr>
        <w:t>195</w:t>
      </w:r>
      <w:r>
        <w:rPr>
          <w:rFonts w:hint="eastAsia" w:ascii="FangSong_GB2312" w:eastAsia="FangSong_GB2312"/>
          <w:color w:val="000000"/>
          <w:sz w:val="32"/>
          <w:szCs w:val="32"/>
        </w:rPr>
        <w:t>人次，共计支出</w:t>
      </w:r>
      <w:r>
        <w:rPr>
          <w:rFonts w:hint="eastAsia" w:ascii="FangSong_GB2312" w:eastAsiaTheme="minorEastAsia"/>
          <w:color w:val="000000"/>
          <w:sz w:val="32"/>
          <w:szCs w:val="32"/>
        </w:rPr>
        <w:t>0.7</w:t>
      </w:r>
      <w:r>
        <w:rPr>
          <w:rFonts w:hint="eastAsia" w:ascii="FangSong_GB2312" w:eastAsiaTheme="minorEastAsia"/>
          <w:color w:val="000000"/>
          <w:sz w:val="32"/>
          <w:szCs w:val="32"/>
          <w:lang w:val="en-US" w:eastAsia="zh-CN"/>
        </w:rPr>
        <w:t>6</w:t>
      </w:r>
      <w:r>
        <w:rPr>
          <w:rFonts w:hint="eastAsia" w:ascii="FangSong_GB2312" w:eastAsia="FangSong_GB2312"/>
          <w:color w:val="000000"/>
          <w:sz w:val="32"/>
          <w:szCs w:val="32"/>
        </w:rPr>
        <w:t>万元，具体内容包括：</w:t>
      </w:r>
      <w:r>
        <w:rPr>
          <w:rFonts w:hint="eastAsia" w:ascii="FangSong_GB2312" w:eastAsiaTheme="minorEastAsia"/>
          <w:color w:val="000000"/>
          <w:sz w:val="32"/>
          <w:szCs w:val="32"/>
        </w:rPr>
        <w:t>上</w:t>
      </w:r>
      <w:r>
        <w:rPr>
          <w:rFonts w:hint="eastAsia" w:ascii="仿宋_GB2312" w:eastAsia="仿宋_GB2312"/>
          <w:color w:val="000000"/>
          <w:sz w:val="32"/>
          <w:szCs w:val="32"/>
        </w:rPr>
        <w:t>级来校指导工作、开展业务活动等工作用餐支出0.7</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万元。</w:t>
      </w:r>
    </w:p>
    <w:p>
      <w:pPr>
        <w:spacing w:line="600" w:lineRule="exact"/>
        <w:outlineLvl w:val="1"/>
        <w:rPr>
          <w:rStyle w:val="25"/>
          <w:rFonts w:ascii="黑体" w:hAnsi="黑体" w:eastAsia="黑体"/>
        </w:rPr>
      </w:pPr>
      <w:bookmarkStart w:id="46" w:name="_Toc15377218"/>
      <w:bookmarkStart w:id="47" w:name="_Toc15396610"/>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FangSong_GB2312" w:eastAsia="FangSong_GB2312"/>
          <w:color w:val="000000"/>
          <w:sz w:val="32"/>
          <w:szCs w:val="32"/>
        </w:rPr>
      </w:pPr>
      <w:r>
        <w:rPr>
          <w:rFonts w:ascii="FangSong_GB2312" w:eastAsia="FangSong_GB2312"/>
          <w:color w:val="000000"/>
          <w:sz w:val="32"/>
          <w:szCs w:val="32"/>
        </w:rPr>
        <w:t>20</w:t>
      </w:r>
      <w:r>
        <w:rPr>
          <w:rFonts w:hint="eastAsia" w:ascii="FangSong_GB2312" w:eastAsia="FangSong_GB2312"/>
          <w:color w:val="000000"/>
          <w:sz w:val="32"/>
          <w:szCs w:val="32"/>
          <w:lang w:val="en-US" w:eastAsia="zh-CN"/>
        </w:rPr>
        <w:t>20</w:t>
      </w:r>
      <w:r>
        <w:rPr>
          <w:rFonts w:hint="eastAsia" w:ascii="FangSong_GB2312" w:eastAsia="FangSong_GB2312"/>
          <w:color w:val="000000"/>
          <w:sz w:val="32"/>
          <w:szCs w:val="32"/>
        </w:rPr>
        <w:t>年政府性基金预算拨款支出</w:t>
      </w:r>
      <w:r>
        <w:rPr>
          <w:rFonts w:hint="eastAsia" w:ascii="FangSong_GB2312" w:eastAsiaTheme="minorEastAsia"/>
          <w:color w:val="000000"/>
          <w:sz w:val="32"/>
          <w:szCs w:val="32"/>
        </w:rPr>
        <w:t>5</w:t>
      </w:r>
      <w:r>
        <w:rPr>
          <w:rFonts w:hint="eastAsia" w:ascii="FangSong_GB2312" w:eastAsia="FangSong_GB2312"/>
          <w:color w:val="000000"/>
          <w:sz w:val="32"/>
          <w:szCs w:val="32"/>
        </w:rPr>
        <w:t>万元。</w:t>
      </w:r>
    </w:p>
    <w:p>
      <w:pPr>
        <w:numPr>
          <w:ilvl w:val="0"/>
          <w:numId w:val="0"/>
        </w:numPr>
        <w:spacing w:line="600" w:lineRule="exact"/>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lang w:val="en-US" w:eastAsia="zh-CN"/>
        </w:rPr>
        <w:t>九、</w:t>
      </w:r>
      <w:r>
        <w:rPr>
          <w:rStyle w:val="25"/>
          <w:rFonts w:hint="eastAsia" w:ascii="黑体" w:hAnsi="黑体" w:eastAsia="黑体"/>
          <w:b w:val="0"/>
        </w:rPr>
        <w:t>国有资本经营预算支出决算情况说明</w:t>
      </w:r>
      <w:bookmarkEnd w:id="48"/>
      <w:bookmarkEnd w:id="49"/>
    </w:p>
    <w:p>
      <w:pPr>
        <w:spacing w:line="600" w:lineRule="exact"/>
        <w:ind w:firstLine="640"/>
        <w:rPr>
          <w:rFonts w:ascii="FangSong_GB2312" w:eastAsia="FangSong_GB2312"/>
          <w:color w:val="000000"/>
          <w:sz w:val="32"/>
          <w:szCs w:val="32"/>
        </w:rPr>
      </w:pPr>
      <w:r>
        <w:rPr>
          <w:rFonts w:ascii="FangSong_GB2312" w:eastAsia="FangSong_GB2312"/>
          <w:color w:val="000000"/>
          <w:sz w:val="32"/>
          <w:szCs w:val="32"/>
        </w:rPr>
        <w:t>20</w:t>
      </w:r>
      <w:r>
        <w:rPr>
          <w:rFonts w:hint="eastAsia" w:ascii="FangSong_GB2312" w:eastAsia="FangSong_GB2312"/>
          <w:color w:val="000000"/>
          <w:sz w:val="32"/>
          <w:szCs w:val="32"/>
          <w:lang w:val="en-US" w:eastAsia="zh-CN"/>
        </w:rPr>
        <w:t>20</w:t>
      </w:r>
      <w:r>
        <w:rPr>
          <w:rFonts w:hint="eastAsia" w:ascii="FangSong_GB2312" w:eastAsia="FangSong_GB2312"/>
          <w:color w:val="000000"/>
          <w:sz w:val="32"/>
          <w:szCs w:val="32"/>
        </w:rPr>
        <w:t>年国有资本经营预算拨款支出</w:t>
      </w:r>
      <w:r>
        <w:rPr>
          <w:rFonts w:hint="eastAsia" w:ascii="FangSong_GB2312" w:eastAsiaTheme="minorEastAsia"/>
          <w:color w:val="000000"/>
          <w:sz w:val="32"/>
          <w:szCs w:val="32"/>
        </w:rPr>
        <w:t>0</w:t>
      </w:r>
      <w:r>
        <w:rPr>
          <w:rFonts w:hint="eastAsia" w:ascii="FangSong_GB2312" w:eastAsia="FangSong_GB2312"/>
          <w:color w:val="000000"/>
          <w:sz w:val="32"/>
          <w:szCs w:val="32"/>
        </w:rPr>
        <w:t>万元。</w:t>
      </w:r>
    </w:p>
    <w:p>
      <w:pPr>
        <w:spacing w:line="580" w:lineRule="exact"/>
        <w:rPr>
          <w:rStyle w:val="25"/>
          <w:rFonts w:ascii="黑体" w:hAnsi="黑体" w:eastAsia="黑体"/>
          <w:b w:val="0"/>
        </w:rPr>
      </w:pPr>
      <w:r>
        <w:rPr>
          <w:rStyle w:val="25"/>
          <w:rFonts w:hint="eastAsia" w:ascii="黑体" w:hAnsi="黑体" w:eastAsia="黑体"/>
          <w:b w:val="0"/>
        </w:rPr>
        <w:t>十、预算绩效情况说明</w:t>
      </w:r>
    </w:p>
    <w:p>
      <w:pPr>
        <w:numPr>
          <w:ilvl w:val="0"/>
          <w:numId w:val="1"/>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根据预算绩效管理要求，本部门按要求对20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年部门整体支出开展绩效自评，从评价情况来看全面完成了预算执行，达到了预期效果。</w:t>
      </w:r>
    </w:p>
    <w:p>
      <w:pPr>
        <w:numPr>
          <w:ilvl w:val="0"/>
          <w:numId w:val="1"/>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p>
    <w:p>
      <w:pPr>
        <w:numPr>
          <w:ilvl w:val="0"/>
          <w:numId w:val="1"/>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年度无项目执行情况。</w:t>
      </w:r>
    </w:p>
    <w:p>
      <w:pPr>
        <w:numPr>
          <w:ilvl w:val="0"/>
          <w:numId w:val="1"/>
        </w:numPr>
        <w:spacing w:line="580" w:lineRule="exact"/>
        <w:ind w:firstLine="643" w:firstLineChars="200"/>
        <w:rPr>
          <w:rFonts w:ascii="仿宋" w:hAnsi="仿宋" w:eastAsia="仿宋" w:cs="FangSong_GB2312"/>
          <w:sz w:val="32"/>
          <w:szCs w:val="32"/>
        </w:rPr>
      </w:pPr>
      <w:r>
        <w:rPr>
          <w:rFonts w:hint="eastAsia" w:ascii="仿宋" w:hAnsi="仿宋" w:eastAsia="仿宋" w:cs="楷体_GB2312"/>
          <w:b/>
          <w:bCs/>
          <w:sz w:val="32"/>
          <w:szCs w:val="32"/>
        </w:rPr>
        <w:t>部门开展绩效评价结果。</w:t>
      </w:r>
    </w:p>
    <w:p>
      <w:pPr>
        <w:pStyle w:val="23"/>
        <w:spacing w:line="580" w:lineRule="exact"/>
        <w:ind w:left="420" w:leftChars="200"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年部门整体支出绩效评价情况开展自评，《开江县讲治镇中心小学20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年部门整体支出绩效评价报告》见附件。</w:t>
      </w: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1120" w:firstLineChars="350"/>
        <w:rPr>
          <w:rFonts w:ascii="仿宋_GB2312" w:eastAsia="仿宋_GB2312"/>
          <w:color w:val="000000" w:themeColor="text1"/>
          <w:sz w:val="32"/>
          <w:szCs w:val="32"/>
        </w:rPr>
      </w:pPr>
      <w:bookmarkStart w:id="53" w:name="_Toc15377223"/>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年本单位无此项支出。</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 w:hAnsi="仿宋" w:eastAsia="仿宋"/>
          <w:b/>
          <w:color w:val="000000"/>
          <w:sz w:val="32"/>
          <w:szCs w:val="32"/>
        </w:rPr>
      </w:pPr>
      <w:r>
        <w:rPr>
          <w:rFonts w:hint="eastAsia" w:ascii="FangSong_GB2312" w:eastAsia="FangSong_GB2312"/>
          <w:color w:val="000000"/>
          <w:sz w:val="32"/>
          <w:szCs w:val="32"/>
          <w:lang w:val="en-US" w:eastAsia="zh-CN"/>
        </w:rPr>
        <w:t>2020</w:t>
      </w:r>
      <w:r>
        <w:rPr>
          <w:rFonts w:hint="eastAsia" w:ascii="FangSong_GB2312" w:eastAsia="FangSong_GB2312"/>
          <w:color w:val="000000"/>
          <w:sz w:val="32"/>
          <w:szCs w:val="32"/>
        </w:rPr>
        <w:t>年，开江县讲治镇中心小学政府采购支出总额</w:t>
      </w:r>
      <w:r>
        <w:rPr>
          <w:rFonts w:hint="eastAsia" w:ascii="FangSong_GB2312" w:eastAsiaTheme="minorEastAsia"/>
          <w:color w:val="000000"/>
          <w:sz w:val="32"/>
          <w:szCs w:val="32"/>
        </w:rPr>
        <w:t>0</w:t>
      </w:r>
      <w:r>
        <w:rPr>
          <w:rFonts w:hint="eastAsia" w:ascii="FangSong_GB2312" w:eastAsia="FangSong_GB2312"/>
          <w:color w:val="000000"/>
          <w:sz w:val="32"/>
          <w:szCs w:val="32"/>
        </w:rPr>
        <w:t>万元，其中：政府采购货物支出</w:t>
      </w:r>
      <w:r>
        <w:rPr>
          <w:rFonts w:hint="eastAsia" w:ascii="FangSong_GB2312" w:eastAsiaTheme="minorEastAsia"/>
          <w:color w:val="000000"/>
          <w:sz w:val="32"/>
          <w:szCs w:val="32"/>
        </w:rPr>
        <w:t>0</w:t>
      </w:r>
      <w:r>
        <w:rPr>
          <w:rFonts w:hint="eastAsia" w:ascii="FangSong_GB2312" w:eastAsia="FangSong_GB2312"/>
          <w:color w:val="000000"/>
          <w:sz w:val="32"/>
          <w:szCs w:val="32"/>
        </w:rPr>
        <w:t>万元、政府采购工程支出</w:t>
      </w:r>
      <w:r>
        <w:rPr>
          <w:rFonts w:hint="eastAsia" w:ascii="FangSong_GB2312" w:eastAsiaTheme="minorEastAsia"/>
          <w:color w:val="000000"/>
          <w:sz w:val="32"/>
          <w:szCs w:val="32"/>
        </w:rPr>
        <w:t>0</w:t>
      </w:r>
      <w:r>
        <w:rPr>
          <w:rFonts w:hint="eastAsia" w:ascii="FangSong_GB2312" w:eastAsia="FangSong_GB2312"/>
          <w:color w:val="000000"/>
          <w:sz w:val="32"/>
          <w:szCs w:val="32"/>
        </w:rPr>
        <w:t>万元、政府采购服务支出</w:t>
      </w:r>
      <w:r>
        <w:rPr>
          <w:rFonts w:hint="eastAsia" w:ascii="FangSong_GB2312" w:eastAsiaTheme="minorEastAsia"/>
          <w:color w:val="000000"/>
          <w:sz w:val="32"/>
          <w:szCs w:val="32"/>
        </w:rPr>
        <w:t>0</w:t>
      </w:r>
      <w:r>
        <w:rPr>
          <w:rFonts w:hint="eastAsia" w:ascii="FangSong_GB2312" w:eastAsia="FangSong_GB2312"/>
          <w:color w:val="000000"/>
          <w:sz w:val="32"/>
          <w:szCs w:val="32"/>
        </w:rPr>
        <w:t>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日，本单位无国有资产占有使用情况。</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p>
    <w:p>
      <w:pPr>
        <w:numPr>
          <w:ilvl w:val="0"/>
          <w:numId w:val="2"/>
        </w:numPr>
        <w:spacing w:line="600" w:lineRule="exact"/>
        <w:ind w:firstLine="663" w:firstLineChars="150"/>
        <w:jc w:val="center"/>
        <w:outlineLvl w:val="0"/>
        <w:rPr>
          <w:rStyle w:val="24"/>
          <w:rFonts w:ascii="黑体" w:hAnsi="黑体" w:eastAsia="黑体"/>
          <w:b w:val="0"/>
        </w:rPr>
      </w:pPr>
      <w:bookmarkStart w:id="55" w:name="_Toc15396613"/>
      <w:bookmarkStart w:id="56" w:name="_Toc15377225"/>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FangSong_GB2312" w:eastAsia="FangSong_GB2312"/>
          <w:sz w:val="32"/>
          <w:szCs w:val="32"/>
        </w:rPr>
      </w:pPr>
      <w:r>
        <w:rPr>
          <w:rFonts w:ascii="FangSong_GB2312" w:eastAsia="FangSong_GB2312"/>
          <w:sz w:val="32"/>
          <w:szCs w:val="32"/>
        </w:rPr>
        <w:t>1.</w:t>
      </w:r>
      <w:r>
        <w:rPr>
          <w:rFonts w:hint="eastAsia" w:ascii="FangSong_GB2312" w:eastAsia="FangSong_GB2312"/>
          <w:sz w:val="32"/>
          <w:szCs w:val="32"/>
        </w:rPr>
        <w:t>财政拨款收入：指单位从同级财政部门取得的财政预算资金。</w:t>
      </w:r>
    </w:p>
    <w:p>
      <w:pPr>
        <w:pStyle w:val="22"/>
        <w:spacing w:line="560" w:lineRule="exact"/>
        <w:ind w:firstLine="640" w:firstLineChars="200"/>
        <w:rPr>
          <w:rFonts w:ascii="FangSong_GB2312" w:eastAsia="FangSong_GB2312"/>
          <w:sz w:val="32"/>
          <w:szCs w:val="32"/>
        </w:rPr>
      </w:pPr>
      <w:r>
        <w:rPr>
          <w:rFonts w:ascii="FangSong_GB2312" w:eastAsia="FangSong_GB2312"/>
          <w:sz w:val="32"/>
          <w:szCs w:val="32"/>
        </w:rPr>
        <w:t>2.</w:t>
      </w:r>
      <w:r>
        <w:rPr>
          <w:rFonts w:hint="eastAsia" w:ascii="FangSong_GB2312" w:eastAsia="FangSong_GB2312"/>
          <w:sz w:val="32"/>
          <w:szCs w:val="32"/>
        </w:rPr>
        <w:t>事业收入：指事业单位开展专业业务活动及辅助活动取得的收入。</w:t>
      </w:r>
    </w:p>
    <w:p>
      <w:pPr>
        <w:pStyle w:val="22"/>
        <w:spacing w:line="560" w:lineRule="exact"/>
        <w:ind w:firstLine="640" w:firstLineChars="200"/>
        <w:rPr>
          <w:rFonts w:hint="eastAsia" w:ascii="FangSong_GB2312" w:eastAsia="FangSong_GB2312"/>
          <w:sz w:val="32"/>
          <w:szCs w:val="32"/>
        </w:rPr>
      </w:pPr>
      <w:r>
        <w:rPr>
          <w:rFonts w:ascii="FangSong_GB2312" w:eastAsia="FangSong_GB2312"/>
          <w:sz w:val="32"/>
          <w:szCs w:val="32"/>
        </w:rPr>
        <w:t>3.</w:t>
      </w:r>
      <w:r>
        <w:rPr>
          <w:rFonts w:hint="eastAsia" w:ascii="FangSong_GB2312" w:eastAsia="FangSong_GB2312"/>
          <w:sz w:val="32"/>
          <w:szCs w:val="32"/>
        </w:rPr>
        <w:t>经营收入：指事业单位在专业业务活动及其辅助活动之外开展非独立核算经营活动取得的收入。</w:t>
      </w:r>
    </w:p>
    <w:p>
      <w:pPr>
        <w:pStyle w:val="22"/>
        <w:keepNext w:val="0"/>
        <w:keepLines w:val="0"/>
        <w:pageBreakBefore w:val="0"/>
        <w:widowControl w:val="0"/>
        <w:kinsoku/>
        <w:wordWrap/>
        <w:overflowPunct/>
        <w:topLinePunct w:val="0"/>
        <w:autoSpaceDE w:val="0"/>
        <w:autoSpaceDN w:val="0"/>
        <w:bidi w:val="0"/>
        <w:adjustRightInd w:val="0"/>
        <w:snapToGrid/>
        <w:spacing w:line="560" w:lineRule="exact"/>
        <w:ind w:left="319" w:leftChars="152" w:firstLine="320" w:firstLineChars="100"/>
        <w:textAlignment w:val="auto"/>
        <w:rPr>
          <w:rFonts w:hint="eastAsia" w:ascii="FangSong_GB2312" w:eastAsia="FangSong_GB2312"/>
          <w:sz w:val="32"/>
          <w:szCs w:val="32"/>
          <w:lang w:val="en-US" w:eastAsia="zh-CN"/>
        </w:rPr>
      </w:pPr>
      <w:r>
        <w:rPr>
          <w:rFonts w:ascii="FangSong_GB2312" w:eastAsia="FangSong_GB2312"/>
          <w:sz w:val="32"/>
          <w:szCs w:val="32"/>
        </w:rPr>
        <w:t>4.</w:t>
      </w:r>
      <w:r>
        <w:rPr>
          <w:rFonts w:hint="eastAsia" w:ascii="FangSong_GB2312" w:eastAsia="FangSong_GB2312"/>
          <w:sz w:val="32"/>
          <w:szCs w:val="32"/>
        </w:rPr>
        <w:t>其他收入：指单位取得的除上述收入以外的各项收入</w:t>
      </w:r>
      <w:r>
        <w:rPr>
          <w:rFonts w:hint="eastAsia" w:ascii="FangSong_GB2312" w:eastAsia="FangSong_GB2312"/>
          <w:sz w:val="32"/>
          <w:szCs w:val="32"/>
          <w:lang w:val="en-US" w:eastAsia="zh-CN"/>
        </w:rPr>
        <w:t xml:space="preserve"> 。</w:t>
      </w:r>
    </w:p>
    <w:p>
      <w:pPr>
        <w:pStyle w:val="22"/>
        <w:keepNext w:val="0"/>
        <w:keepLines w:val="0"/>
        <w:pageBreakBefore w:val="0"/>
        <w:widowControl w:val="0"/>
        <w:kinsoku/>
        <w:wordWrap/>
        <w:overflowPunct/>
        <w:topLinePunct w:val="0"/>
        <w:autoSpaceDE w:val="0"/>
        <w:autoSpaceDN w:val="0"/>
        <w:bidi w:val="0"/>
        <w:adjustRightInd w:val="0"/>
        <w:snapToGrid/>
        <w:spacing w:line="560" w:lineRule="exact"/>
        <w:ind w:left="319" w:leftChars="152" w:firstLine="320" w:firstLineChars="100"/>
        <w:textAlignment w:val="auto"/>
        <w:rPr>
          <w:rFonts w:ascii="FangSong_GB2312" w:eastAsia="FangSong_GB2312"/>
          <w:sz w:val="32"/>
          <w:szCs w:val="32"/>
        </w:rPr>
      </w:pPr>
      <w:r>
        <w:rPr>
          <w:rFonts w:hint="eastAsia" w:ascii="FangSong_GB2312" w:eastAsia="FangSong_GB2312"/>
          <w:sz w:val="32"/>
          <w:szCs w:val="32"/>
          <w:lang w:val="en-US" w:eastAsia="zh-CN"/>
        </w:rPr>
        <w:t>5.</w:t>
      </w:r>
      <w:r>
        <w:rPr>
          <w:rFonts w:hint="eastAsia" w:ascii="FangSong_GB2312" w:eastAsia="FangSong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2"/>
        <w:spacing w:line="560" w:lineRule="exact"/>
        <w:ind w:firstLine="640" w:firstLineChars="200"/>
        <w:rPr>
          <w:rFonts w:ascii="FangSong_GB2312" w:eastAsia="FangSong_GB2312"/>
          <w:sz w:val="32"/>
          <w:szCs w:val="32"/>
        </w:rPr>
      </w:pPr>
      <w:r>
        <w:rPr>
          <w:rFonts w:ascii="FangSong_GB2312" w:eastAsia="FangSong_GB2312"/>
          <w:sz w:val="32"/>
          <w:szCs w:val="32"/>
        </w:rPr>
        <w:t>6.</w:t>
      </w:r>
      <w:r>
        <w:rPr>
          <w:rFonts w:hint="eastAsia" w:ascii="FangSong_GB2312" w:eastAsia="FangSong_GB2312"/>
          <w:sz w:val="32"/>
          <w:szCs w:val="32"/>
        </w:rPr>
        <w:t>年初结转和结余：指以前年度尚未完成、结转到本年按有关规定继续使用的资金。</w:t>
      </w:r>
    </w:p>
    <w:p>
      <w:pPr>
        <w:pStyle w:val="22"/>
        <w:spacing w:line="560" w:lineRule="exact"/>
        <w:ind w:firstLine="640" w:firstLineChars="200"/>
        <w:rPr>
          <w:rFonts w:ascii="FangSong_GB2312" w:eastAsia="FangSong_GB2312"/>
          <w:sz w:val="32"/>
          <w:szCs w:val="32"/>
        </w:rPr>
      </w:pPr>
      <w:r>
        <w:rPr>
          <w:rFonts w:ascii="FangSong_GB2312" w:eastAsia="FangSong_GB2312"/>
          <w:sz w:val="32"/>
          <w:szCs w:val="32"/>
        </w:rPr>
        <w:t>7.</w:t>
      </w:r>
      <w:r>
        <w:rPr>
          <w:rFonts w:hint="eastAsia" w:ascii="FangSong_GB2312" w:eastAsia="FangSong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FangSong_GB2312" w:eastAsia="FangSong_GB2312"/>
          <w:sz w:val="32"/>
          <w:szCs w:val="32"/>
        </w:rPr>
      </w:pPr>
      <w:r>
        <w:rPr>
          <w:rFonts w:ascii="FangSong_GB2312" w:eastAsia="FangSong_GB2312"/>
          <w:sz w:val="32"/>
          <w:szCs w:val="32"/>
        </w:rPr>
        <w:t>8</w:t>
      </w:r>
      <w:r>
        <w:rPr>
          <w:rFonts w:hint="eastAsia" w:ascii="FangSong_GB2312" w:eastAsia="FangSong_GB2312"/>
          <w:sz w:val="32"/>
          <w:szCs w:val="32"/>
        </w:rPr>
        <w:t>、年末结转和结余：指单位按有关规定结转到下年或以后年度继续使用的资金。</w:t>
      </w:r>
    </w:p>
    <w:p>
      <w:pPr>
        <w:ind w:firstLine="640" w:firstLineChars="200"/>
        <w:rPr>
          <w:rFonts w:ascii="FangSong_GB2312" w:eastAsia="FangSong_GB2312"/>
          <w:color w:val="000000"/>
          <w:sz w:val="32"/>
          <w:szCs w:val="32"/>
        </w:rPr>
      </w:pPr>
      <w:r>
        <w:rPr>
          <w:rFonts w:hint="eastAsia" w:ascii="FangSong_GB2312" w:eastAsia="FangSong_GB2312"/>
          <w:color w:val="000000"/>
          <w:sz w:val="32"/>
          <w:szCs w:val="32"/>
          <w:lang w:val="en-US" w:eastAsia="zh-CN"/>
        </w:rPr>
        <w:t>9</w:t>
      </w:r>
      <w:r>
        <w:rPr>
          <w:rFonts w:ascii="FangSong_GB2312" w:eastAsia="FangSong_GB2312"/>
          <w:color w:val="000000"/>
          <w:sz w:val="32"/>
          <w:szCs w:val="32"/>
        </w:rPr>
        <w:t>.</w:t>
      </w:r>
      <w:r>
        <w:rPr>
          <w:rFonts w:hint="eastAsia" w:ascii="FangSong_GB2312" w:eastAsia="FangSong_GB2312"/>
          <w:color w:val="000000"/>
          <w:sz w:val="32"/>
          <w:szCs w:val="32"/>
        </w:rPr>
        <w:t>教育</w:t>
      </w:r>
      <w:r>
        <w:rPr>
          <w:rFonts w:hint="eastAsia" w:ascii="FangSong_GB2312" w:eastAsia="FangSong_GB2312"/>
          <w:color w:val="000000"/>
          <w:sz w:val="32"/>
          <w:szCs w:val="32"/>
          <w:lang w:eastAsia="zh-CN"/>
        </w:rPr>
        <w:t>：</w:t>
      </w:r>
      <w:r>
        <w:rPr>
          <w:rFonts w:hint="eastAsia" w:ascii="FangSong_GB2312" w:eastAsia="FangSong_GB2312"/>
          <w:color w:val="000000"/>
          <w:sz w:val="32"/>
          <w:szCs w:val="32"/>
          <w:lang w:val="en-US" w:eastAsia="zh-CN"/>
        </w:rPr>
        <w:t>指普通小学教育。</w:t>
      </w:r>
    </w:p>
    <w:p>
      <w:pPr>
        <w:ind w:firstLine="640" w:firstLineChars="200"/>
        <w:rPr>
          <w:rFonts w:ascii="FangSong_GB2312" w:eastAsia="FangSong_GB2312"/>
          <w:color w:val="000000"/>
          <w:sz w:val="32"/>
          <w:szCs w:val="32"/>
        </w:rPr>
      </w:pPr>
      <w:r>
        <w:rPr>
          <w:rFonts w:hint="eastAsia" w:ascii="FangSong_GB2312" w:eastAsia="FangSong_GB2312"/>
          <w:color w:val="000000"/>
          <w:sz w:val="32"/>
          <w:szCs w:val="32"/>
          <w:lang w:val="en-US" w:eastAsia="zh-CN"/>
        </w:rPr>
        <w:t>10</w:t>
      </w:r>
      <w:r>
        <w:rPr>
          <w:rFonts w:ascii="FangSong_GB2312" w:eastAsia="FangSong_GB2312"/>
          <w:color w:val="000000"/>
          <w:sz w:val="32"/>
          <w:szCs w:val="32"/>
        </w:rPr>
        <w:t>.</w:t>
      </w:r>
      <w:r>
        <w:rPr>
          <w:rFonts w:hint="eastAsia" w:ascii="FangSong_GB2312" w:eastAsia="FangSong_GB2312"/>
          <w:color w:val="000000"/>
          <w:sz w:val="32"/>
          <w:szCs w:val="32"/>
        </w:rPr>
        <w:t>社会保障和就业</w:t>
      </w:r>
      <w:r>
        <w:rPr>
          <w:rFonts w:hint="eastAsia" w:ascii="FangSong_GB2312" w:eastAsia="FangSong_GB2312"/>
          <w:color w:val="000000"/>
          <w:sz w:val="32"/>
          <w:szCs w:val="32"/>
          <w:lang w:eastAsia="zh-CN"/>
        </w:rPr>
        <w:t>：</w:t>
      </w:r>
      <w:r>
        <w:rPr>
          <w:rFonts w:hint="eastAsia" w:ascii="FangSong_GB2312" w:eastAsia="FangSong_GB2312"/>
          <w:color w:val="000000"/>
          <w:sz w:val="32"/>
          <w:szCs w:val="32"/>
          <w:lang w:val="en-US" w:eastAsia="zh-CN"/>
        </w:rPr>
        <w:t>指</w:t>
      </w:r>
      <w:r>
        <w:rPr>
          <w:rFonts w:hint="eastAsia" w:ascii="FangSong_GB2312" w:eastAsia="FangSong_GB2312"/>
          <w:color w:val="000000"/>
          <w:sz w:val="32"/>
          <w:szCs w:val="32"/>
          <w:lang w:eastAsia="zh-CN"/>
        </w:rPr>
        <w:t>机关事业单位基本养老保险</w:t>
      </w:r>
      <w:r>
        <w:rPr>
          <w:rFonts w:hint="eastAsia" w:ascii="FangSong_GB2312" w:eastAsia="FangSong_GB2312"/>
          <w:color w:val="000000"/>
          <w:sz w:val="32"/>
          <w:szCs w:val="32"/>
        </w:rPr>
        <w:t>。</w:t>
      </w:r>
    </w:p>
    <w:p>
      <w:pPr>
        <w:ind w:firstLine="640" w:firstLineChars="200"/>
        <w:rPr>
          <w:rFonts w:ascii="FangSong_GB2312" w:eastAsia="FangSong_GB2312"/>
          <w:color w:val="000000"/>
          <w:sz w:val="32"/>
          <w:szCs w:val="32"/>
        </w:rPr>
      </w:pPr>
      <w:r>
        <w:rPr>
          <w:rFonts w:ascii="FangSong_GB2312" w:eastAsia="FangSong_GB2312"/>
          <w:color w:val="000000"/>
          <w:sz w:val="32"/>
          <w:szCs w:val="32"/>
        </w:rPr>
        <w:t>1</w:t>
      </w:r>
      <w:r>
        <w:rPr>
          <w:rFonts w:hint="eastAsia" w:ascii="FangSong_GB2312" w:eastAsia="FangSong_GB2312"/>
          <w:color w:val="000000"/>
          <w:sz w:val="32"/>
          <w:szCs w:val="32"/>
          <w:lang w:val="en-US" w:eastAsia="zh-CN"/>
        </w:rPr>
        <w:t>1</w:t>
      </w:r>
      <w:r>
        <w:rPr>
          <w:rFonts w:ascii="FangSong_GB2312" w:eastAsia="FangSong_GB2312"/>
          <w:color w:val="000000"/>
          <w:sz w:val="32"/>
          <w:szCs w:val="32"/>
        </w:rPr>
        <w:t>.</w:t>
      </w:r>
      <w:r>
        <w:rPr>
          <w:rFonts w:hint="eastAsia" w:ascii="FangSong_GB2312" w:eastAsia="FangSong_GB2312"/>
          <w:color w:val="000000"/>
          <w:sz w:val="32"/>
          <w:szCs w:val="32"/>
        </w:rPr>
        <w:t>医疗卫生与计划生育</w:t>
      </w:r>
      <w:r>
        <w:rPr>
          <w:rFonts w:hint="eastAsia" w:ascii="FangSong_GB2312" w:eastAsia="FangSong_GB2312"/>
          <w:color w:val="000000"/>
          <w:sz w:val="32"/>
          <w:szCs w:val="32"/>
          <w:lang w:eastAsia="zh-CN"/>
        </w:rPr>
        <w:t>：</w:t>
      </w:r>
      <w:r>
        <w:rPr>
          <w:rFonts w:hint="eastAsia" w:ascii="FangSong_GB2312" w:eastAsia="FangSong_GB2312"/>
          <w:color w:val="000000"/>
          <w:sz w:val="32"/>
          <w:szCs w:val="32"/>
          <w:lang w:val="en-US" w:eastAsia="zh-CN"/>
        </w:rPr>
        <w:t>指医疗保险</w:t>
      </w:r>
      <w:r>
        <w:rPr>
          <w:rFonts w:hint="eastAsia" w:ascii="FangSong_GB2312" w:eastAsia="FangSong_GB2312"/>
          <w:color w:val="000000"/>
          <w:sz w:val="32"/>
          <w:szCs w:val="32"/>
        </w:rPr>
        <w:t>。</w:t>
      </w:r>
    </w:p>
    <w:p>
      <w:pPr>
        <w:ind w:firstLine="640" w:firstLineChars="200"/>
        <w:rPr>
          <w:rFonts w:ascii="FangSong_GB2312" w:eastAsia="FangSong_GB2312"/>
          <w:color w:val="000000"/>
          <w:sz w:val="32"/>
          <w:szCs w:val="32"/>
        </w:rPr>
      </w:pPr>
      <w:r>
        <w:rPr>
          <w:rFonts w:hint="eastAsia" w:ascii="FangSong_GB2312" w:eastAsia="FangSong_GB2312"/>
          <w:color w:val="000000"/>
          <w:sz w:val="32"/>
          <w:szCs w:val="32"/>
          <w:lang w:val="en-US" w:eastAsia="zh-CN"/>
        </w:rPr>
        <w:t>12</w:t>
      </w:r>
      <w:r>
        <w:rPr>
          <w:rFonts w:ascii="FangSong_GB2312" w:eastAsia="FangSong_GB2312"/>
          <w:color w:val="000000"/>
          <w:sz w:val="32"/>
          <w:szCs w:val="32"/>
        </w:rPr>
        <w:t>.</w:t>
      </w:r>
      <w:r>
        <w:rPr>
          <w:rFonts w:hint="eastAsia" w:ascii="FangSong_GB2312" w:eastAsia="FangSong_GB2312"/>
          <w:color w:val="000000"/>
          <w:sz w:val="32"/>
          <w:szCs w:val="32"/>
        </w:rPr>
        <w:t>住房保障</w:t>
      </w:r>
      <w:r>
        <w:rPr>
          <w:rFonts w:hint="eastAsia" w:ascii="FangSong_GB2312" w:eastAsia="FangSong_GB2312"/>
          <w:color w:val="000000"/>
          <w:sz w:val="32"/>
          <w:szCs w:val="32"/>
          <w:lang w:eastAsia="zh-CN"/>
        </w:rPr>
        <w:t>：</w:t>
      </w:r>
      <w:r>
        <w:rPr>
          <w:rFonts w:hint="eastAsia" w:ascii="FangSong_GB2312" w:eastAsia="FangSong_GB2312"/>
          <w:color w:val="000000"/>
          <w:sz w:val="32"/>
          <w:szCs w:val="32"/>
          <w:lang w:val="en-US" w:eastAsia="zh-CN"/>
        </w:rPr>
        <w:t>指住房公积金</w:t>
      </w:r>
      <w:r>
        <w:rPr>
          <w:rFonts w:hint="eastAsia" w:ascii="FangSong_GB2312" w:eastAsia="FangSong_GB2312"/>
          <w:color w:val="000000"/>
          <w:sz w:val="32"/>
          <w:szCs w:val="32"/>
        </w:rPr>
        <w:t>。</w:t>
      </w:r>
    </w:p>
    <w:p>
      <w:pPr>
        <w:ind w:firstLine="640" w:firstLineChars="200"/>
        <w:rPr>
          <w:rFonts w:ascii="FangSong_GB2312" w:eastAsia="FangSong_GB2312"/>
          <w:color w:val="000000"/>
          <w:sz w:val="32"/>
          <w:szCs w:val="32"/>
        </w:rPr>
      </w:pPr>
      <w:r>
        <w:rPr>
          <w:rFonts w:hint="eastAsia" w:ascii="FangSong_GB2312" w:eastAsia="FangSong_GB2312"/>
          <w:color w:val="000000"/>
          <w:sz w:val="32"/>
          <w:szCs w:val="32"/>
          <w:lang w:val="en-US" w:eastAsia="zh-CN"/>
        </w:rPr>
        <w:t>13</w:t>
      </w:r>
      <w:r>
        <w:rPr>
          <w:rFonts w:ascii="FangSong_GB2312" w:eastAsia="FangSong_GB2312"/>
          <w:color w:val="000000"/>
          <w:sz w:val="32"/>
          <w:szCs w:val="32"/>
        </w:rPr>
        <w:t>.</w:t>
      </w:r>
      <w:r>
        <w:rPr>
          <w:rFonts w:hint="eastAsia" w:ascii="FangSong_GB2312" w:eastAsia="FangSong_GB2312"/>
          <w:color w:val="000000"/>
          <w:sz w:val="32"/>
          <w:szCs w:val="32"/>
        </w:rPr>
        <w:t>基本支出：指为保障机构正常运转、完成日常工作任务而发生的人员支出和公用支出。</w:t>
      </w:r>
    </w:p>
    <w:p>
      <w:pPr>
        <w:ind w:firstLine="640" w:firstLineChars="200"/>
        <w:rPr>
          <w:rFonts w:ascii="FangSong_GB2312" w:eastAsia="FangSong_GB2312"/>
          <w:color w:val="000000"/>
          <w:sz w:val="32"/>
          <w:szCs w:val="32"/>
        </w:rPr>
      </w:pPr>
      <w:r>
        <w:rPr>
          <w:rFonts w:hint="eastAsia" w:ascii="FangSong_GB2312" w:eastAsia="FangSong_GB2312"/>
          <w:color w:val="000000"/>
          <w:sz w:val="32"/>
          <w:szCs w:val="32"/>
          <w:lang w:val="en-US" w:eastAsia="zh-CN"/>
        </w:rPr>
        <w:t>14</w:t>
      </w:r>
      <w:r>
        <w:rPr>
          <w:rFonts w:ascii="FangSong_GB2312" w:eastAsia="FangSong_GB2312"/>
          <w:color w:val="000000"/>
          <w:sz w:val="32"/>
          <w:szCs w:val="32"/>
        </w:rPr>
        <w:t>.</w:t>
      </w:r>
      <w:r>
        <w:rPr>
          <w:rFonts w:hint="eastAsia" w:ascii="FangSong_GB2312" w:eastAsia="FangSong_GB2312"/>
          <w:color w:val="000000"/>
          <w:sz w:val="32"/>
          <w:szCs w:val="32"/>
        </w:rPr>
        <w:t>项目支出：指在基本支出之外为完成特定行政任务和事业发展目标所发生的支出。</w:t>
      </w:r>
    </w:p>
    <w:p>
      <w:pPr>
        <w:ind w:firstLine="640" w:firstLineChars="200"/>
        <w:rPr>
          <w:rFonts w:ascii="FangSong_GB2312" w:eastAsia="FangSong_GB2312"/>
          <w:color w:val="000000"/>
          <w:sz w:val="32"/>
          <w:szCs w:val="32"/>
        </w:rPr>
      </w:pPr>
      <w:r>
        <w:rPr>
          <w:rFonts w:hint="eastAsia" w:ascii="FangSong_GB2312" w:eastAsia="FangSong_GB2312"/>
          <w:color w:val="000000"/>
          <w:sz w:val="32"/>
          <w:szCs w:val="32"/>
          <w:lang w:val="en-US" w:eastAsia="zh-CN"/>
        </w:rPr>
        <w:t>15</w:t>
      </w:r>
      <w:r>
        <w:rPr>
          <w:rFonts w:ascii="FangSong_GB2312" w:eastAsia="FangSong_GB2312"/>
          <w:color w:val="000000"/>
          <w:sz w:val="32"/>
          <w:szCs w:val="32"/>
        </w:rPr>
        <w:t>.</w:t>
      </w:r>
      <w:r>
        <w:rPr>
          <w:rFonts w:hint="eastAsia" w:ascii="FangSong_GB2312" w:eastAsia="FangSong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FangSong_GB2312" w:eastAsia="FangSong_GB2312"/>
          <w:sz w:val="32"/>
          <w:szCs w:val="32"/>
        </w:rPr>
      </w:pPr>
      <w:r>
        <w:rPr>
          <w:rFonts w:hint="eastAsia" w:ascii="FangSong_GB2312" w:eastAsia="FangSong_GB2312"/>
          <w:sz w:val="32"/>
          <w:szCs w:val="32"/>
          <w:lang w:val="en-US" w:eastAsia="zh-CN"/>
        </w:rPr>
        <w:t>16</w:t>
      </w:r>
      <w:r>
        <w:rPr>
          <w:rFonts w:ascii="FangSong_GB2312" w:eastAsia="FangSong_GB2312"/>
          <w:sz w:val="32"/>
          <w:szCs w:val="32"/>
        </w:rPr>
        <w:t>.</w:t>
      </w:r>
      <w:r>
        <w:rPr>
          <w:rFonts w:hint="eastAsia" w:ascii="FangSong_GB2312" w:eastAsia="FangSong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FangSong_GB2312" w:eastAsia="FangSong_GB2312"/>
          <w:sz w:val="32"/>
          <w:szCs w:val="32"/>
        </w:rPr>
      </w:pPr>
      <w:r>
        <w:rPr>
          <w:rFonts w:hint="eastAsia" w:ascii="FangSong_GB2312" w:eastAsia="FangSong_GB2312"/>
          <w:sz w:val="32"/>
          <w:szCs w:val="32"/>
          <w:lang w:val="en-US" w:eastAsia="zh-CN"/>
        </w:rPr>
        <w:t>17</w:t>
      </w:r>
      <w:r>
        <w:rPr>
          <w:rFonts w:ascii="FangSong_GB2312" w:eastAsia="FangSong_GB2312"/>
          <w:sz w:val="32"/>
          <w:szCs w:val="32"/>
        </w:rPr>
        <w:t>.</w:t>
      </w:r>
      <w:r>
        <w:rPr>
          <w:rFonts w:hint="eastAsia" w:ascii="FangSong_GB2312" w:eastAsia="FangSong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FangSong_GB2312" w:eastAsia="FangSong_GB2312" w:cs="黑体"/>
          <w:sz w:val="32"/>
          <w:szCs w:val="32"/>
        </w:rPr>
      </w:pP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pStyle w:val="3"/>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rPr>
        <w:t>开江县讲治镇中心小学</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部门</w:t>
      </w:r>
      <w:r>
        <w:rPr>
          <w:rFonts w:hint="eastAsia" w:ascii="黑体" w:hAnsi="黑体" w:eastAsia="黑体" w:cs="方正小标宋简体"/>
          <w:sz w:val="36"/>
          <w:szCs w:val="36"/>
          <w:lang w:val="en-US" w:eastAsia="zh-CN"/>
        </w:rPr>
        <w:t>2020</w:t>
      </w:r>
      <w:r>
        <w:rPr>
          <w:rFonts w:hint="eastAsia" w:ascii="黑体" w:hAnsi="黑体" w:eastAsia="黑体" w:cs="方正小标宋简体"/>
          <w:sz w:val="36"/>
          <w:szCs w:val="36"/>
        </w:rPr>
        <w:t>年部门整体支出绩效评价报告</w:t>
      </w:r>
      <w:bookmarkEnd w:id="60"/>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ind w:firstLine="840" w:firstLineChars="300"/>
        <w:rPr>
          <w:rFonts w:ascii="宋体" w:hAnsi="宋体"/>
          <w:sz w:val="28"/>
          <w:szCs w:val="28"/>
        </w:rPr>
      </w:pPr>
      <w:r>
        <w:rPr>
          <w:rFonts w:hint="eastAsia" w:ascii="宋体" w:hAnsi="宋体"/>
          <w:sz w:val="28"/>
          <w:szCs w:val="28"/>
        </w:rPr>
        <w:t>讲治镇中心小学是一所农村义务教育学校，属一级预算单位。下辖6所村级小学,创办于1913年，位于讲治镇镇龙寺村1组。</w:t>
      </w:r>
    </w:p>
    <w:p>
      <w:pPr>
        <w:ind w:firstLine="700" w:firstLineChars="250"/>
        <w:rPr>
          <w:rFonts w:ascii="宋体" w:hAnsi="宋体"/>
          <w:sz w:val="28"/>
          <w:szCs w:val="28"/>
        </w:rPr>
      </w:pPr>
      <w:r>
        <w:rPr>
          <w:rFonts w:hint="eastAsia" w:ascii="宋体" w:hAnsi="宋体"/>
          <w:sz w:val="28"/>
          <w:szCs w:val="28"/>
        </w:rPr>
        <w:t>单位主要职责是实施小学义务教育，促进教育事业发展。</w:t>
      </w:r>
    </w:p>
    <w:p>
      <w:pPr>
        <w:widowControl/>
        <w:spacing w:line="480" w:lineRule="auto"/>
        <w:ind w:firstLine="618" w:firstLineChars="221"/>
        <w:rPr>
          <w:rFonts w:ascii="宋体" w:hAnsi="宋体" w:cs="宋体"/>
          <w:color w:val="333333"/>
          <w:kern w:val="0"/>
          <w:sz w:val="28"/>
          <w:szCs w:val="28"/>
        </w:rPr>
      </w:pPr>
      <w:r>
        <w:rPr>
          <w:rFonts w:hint="eastAsia" w:ascii="宋体" w:hAnsi="宋体" w:cs="宋体"/>
          <w:color w:val="333333"/>
          <w:kern w:val="0"/>
          <w:sz w:val="28"/>
          <w:szCs w:val="28"/>
        </w:rPr>
        <w:t>我校是独立核算的财政全额拨款事业单位，执行中小学学校会计制度，编制部门给我校核定事业编制77个，</w:t>
      </w:r>
      <w:r>
        <w:rPr>
          <w:rFonts w:hint="eastAsia" w:ascii="宋体" w:hAnsi="宋体"/>
          <w:sz w:val="28"/>
          <w:szCs w:val="28"/>
        </w:rPr>
        <w:t>现实有编制数7</w:t>
      </w:r>
      <w:r>
        <w:rPr>
          <w:rFonts w:hint="eastAsia" w:ascii="宋体" w:hAnsi="宋体"/>
          <w:sz w:val="28"/>
          <w:szCs w:val="28"/>
          <w:lang w:val="en-US" w:eastAsia="zh-CN"/>
        </w:rPr>
        <w:t>8</w:t>
      </w:r>
      <w:r>
        <w:rPr>
          <w:rFonts w:hint="eastAsia" w:ascii="宋体" w:hAnsi="宋体"/>
          <w:sz w:val="28"/>
          <w:szCs w:val="28"/>
        </w:rPr>
        <w:t>人，</w:t>
      </w:r>
      <w:r>
        <w:rPr>
          <w:rFonts w:hint="eastAsia" w:ascii="宋体" w:hAnsi="宋体" w:cs="宋体"/>
          <w:color w:val="333333"/>
          <w:kern w:val="0"/>
          <w:sz w:val="28"/>
          <w:szCs w:val="28"/>
          <w:lang w:val="en-US" w:eastAsia="zh-CN"/>
        </w:rPr>
        <w:t>2020</w:t>
      </w:r>
      <w:r>
        <w:rPr>
          <w:rFonts w:hint="eastAsia" w:ascii="宋体" w:hAnsi="宋体" w:cs="宋体"/>
          <w:color w:val="333333"/>
          <w:kern w:val="0"/>
          <w:sz w:val="28"/>
          <w:szCs w:val="28"/>
        </w:rPr>
        <w:t>年末我校</w:t>
      </w:r>
      <w:r>
        <w:rPr>
          <w:rFonts w:hint="eastAsia" w:ascii="宋体" w:hAnsi="宋体"/>
          <w:sz w:val="28"/>
          <w:szCs w:val="28"/>
        </w:rPr>
        <w:t>在编在职教职工7</w:t>
      </w:r>
      <w:r>
        <w:rPr>
          <w:rFonts w:hint="eastAsia" w:ascii="宋体" w:hAnsi="宋体"/>
          <w:sz w:val="28"/>
          <w:szCs w:val="28"/>
          <w:lang w:val="en-US" w:eastAsia="zh-CN"/>
        </w:rPr>
        <w:t>8</w:t>
      </w:r>
      <w:r>
        <w:rPr>
          <w:rFonts w:hint="eastAsia" w:ascii="宋体" w:hAnsi="宋体"/>
          <w:sz w:val="28"/>
          <w:szCs w:val="28"/>
        </w:rPr>
        <w:t>人，退休教职工69人。</w:t>
      </w:r>
    </w:p>
    <w:p>
      <w:pPr>
        <w:widowControl/>
        <w:spacing w:line="480" w:lineRule="auto"/>
        <w:ind w:firstLine="480"/>
        <w:rPr>
          <w:rFonts w:ascii="宋体" w:hAnsi="宋体" w:cs="宋体"/>
          <w:color w:val="333333"/>
          <w:kern w:val="0"/>
          <w:sz w:val="28"/>
          <w:szCs w:val="28"/>
        </w:rPr>
      </w:pPr>
      <w:r>
        <w:rPr>
          <w:rFonts w:hint="eastAsia" w:ascii="宋体" w:hAnsi="宋体" w:cs="宋体"/>
          <w:color w:val="333333"/>
          <w:kern w:val="0"/>
          <w:sz w:val="28"/>
          <w:szCs w:val="28"/>
        </w:rPr>
        <w:t>单位内设机构：办公室、教务处、政教处、财务室、大队部、工会等6个科室。</w:t>
      </w:r>
    </w:p>
    <w:p>
      <w:pPr>
        <w:widowControl/>
        <w:spacing w:line="480" w:lineRule="auto"/>
        <w:ind w:firstLine="480"/>
        <w:rPr>
          <w:rFonts w:ascii="宋体" w:hAnsi="宋体" w:cs="宋体"/>
          <w:color w:val="333333"/>
          <w:kern w:val="0"/>
          <w:sz w:val="28"/>
          <w:szCs w:val="28"/>
        </w:rPr>
      </w:pPr>
      <w:r>
        <w:rPr>
          <w:rFonts w:hint="eastAsia" w:ascii="宋体" w:hAnsi="宋体" w:cs="宋体"/>
          <w:color w:val="333333"/>
          <w:kern w:val="0"/>
          <w:sz w:val="28"/>
          <w:szCs w:val="28"/>
        </w:rPr>
        <w:t>我校共有</w:t>
      </w:r>
      <w:r>
        <w:rPr>
          <w:rFonts w:hint="eastAsia" w:ascii="宋体" w:hAnsi="宋体" w:cs="宋体"/>
          <w:color w:val="333333"/>
          <w:kern w:val="0"/>
          <w:sz w:val="28"/>
          <w:szCs w:val="28"/>
          <w:lang w:val="en-US" w:eastAsia="zh-CN"/>
        </w:rPr>
        <w:t>28</w:t>
      </w:r>
      <w:r>
        <w:rPr>
          <w:rFonts w:hint="eastAsia" w:ascii="宋体" w:hAnsi="宋体" w:cs="宋体"/>
          <w:color w:val="333333"/>
          <w:kern w:val="0"/>
          <w:sz w:val="28"/>
          <w:szCs w:val="28"/>
        </w:rPr>
        <w:t>个教学班，</w:t>
      </w:r>
      <w:r>
        <w:rPr>
          <w:rFonts w:hint="eastAsia" w:ascii="宋体" w:hAnsi="宋体"/>
          <w:sz w:val="28"/>
          <w:szCs w:val="28"/>
        </w:rPr>
        <w:t>小学生</w:t>
      </w:r>
      <w:r>
        <w:rPr>
          <w:rFonts w:hint="eastAsia" w:ascii="宋体" w:hAnsi="宋体"/>
          <w:sz w:val="28"/>
          <w:szCs w:val="28"/>
          <w:lang w:val="en-US" w:eastAsia="zh-CN"/>
        </w:rPr>
        <w:t>1110</w:t>
      </w:r>
      <w:r>
        <w:rPr>
          <w:rFonts w:hint="eastAsia" w:ascii="宋体" w:hAnsi="宋体"/>
          <w:sz w:val="28"/>
          <w:szCs w:val="28"/>
        </w:rPr>
        <w:t>人</w:t>
      </w:r>
      <w:r>
        <w:rPr>
          <w:rFonts w:hint="eastAsia" w:ascii="宋体" w:hAnsi="宋体" w:cs="宋体"/>
          <w:color w:val="333333"/>
          <w:kern w:val="0"/>
          <w:sz w:val="28"/>
          <w:szCs w:val="28"/>
        </w:rPr>
        <w:t>。</w:t>
      </w:r>
    </w:p>
    <w:p>
      <w:pPr>
        <w:spacing w:line="580" w:lineRule="exact"/>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160" w:firstLineChars="50"/>
        <w:rPr>
          <w:rFonts w:ascii="仿宋" w:hAnsi="仿宋" w:eastAsia="仿宋" w:cs="FangSong_GB2312"/>
          <w:sz w:val="32"/>
          <w:szCs w:val="32"/>
        </w:rPr>
      </w:pPr>
      <w:r>
        <w:rPr>
          <w:rFonts w:ascii="仿宋" w:hAnsi="仿宋" w:eastAsia="仿宋" w:cs="FangSong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2020</w:t>
      </w:r>
      <w:r>
        <w:rPr>
          <w:rFonts w:hint="eastAsia" w:ascii="仿宋" w:hAnsi="仿宋" w:eastAsia="仿宋" w:cs="仿宋_GB2312"/>
          <w:sz w:val="32"/>
          <w:szCs w:val="32"/>
        </w:rPr>
        <w:t>年度我校总收入：</w:t>
      </w:r>
      <w:r>
        <w:rPr>
          <w:rFonts w:hint="eastAsia" w:ascii="仿宋" w:hAnsi="仿宋" w:eastAsia="仿宋" w:cs="仿宋_GB2312"/>
          <w:sz w:val="32"/>
          <w:szCs w:val="32"/>
          <w:lang w:val="en-US" w:eastAsia="zh-CN"/>
        </w:rPr>
        <w:t>1024.70</w:t>
      </w:r>
      <w:r>
        <w:rPr>
          <w:rFonts w:hint="eastAsia" w:ascii="仿宋" w:hAnsi="仿宋" w:eastAsia="仿宋" w:cs="仿宋_GB2312"/>
          <w:sz w:val="32"/>
          <w:szCs w:val="32"/>
        </w:rPr>
        <w:t>万元（其中：一般公共预算财政拨款收入</w:t>
      </w:r>
      <w:r>
        <w:rPr>
          <w:rFonts w:hint="eastAsia" w:ascii="仿宋" w:hAnsi="仿宋" w:eastAsia="仿宋" w:cs="仿宋_GB2312"/>
          <w:sz w:val="32"/>
          <w:szCs w:val="32"/>
          <w:lang w:val="en-US" w:eastAsia="zh-CN"/>
        </w:rPr>
        <w:t>1019.70</w:t>
      </w:r>
      <w:r>
        <w:rPr>
          <w:rFonts w:hint="eastAsia" w:ascii="仿宋" w:hAnsi="仿宋" w:eastAsia="仿宋" w:cs="仿宋_GB2312"/>
          <w:sz w:val="32"/>
          <w:szCs w:val="32"/>
        </w:rPr>
        <w:t>万元，政府性基金预算财政拨款收入5万元），结转上年资金</w:t>
      </w:r>
      <w:r>
        <w:rPr>
          <w:rFonts w:hint="eastAsia" w:ascii="仿宋" w:hAnsi="仿宋" w:eastAsia="仿宋" w:cs="仿宋_GB2312"/>
          <w:sz w:val="32"/>
          <w:szCs w:val="32"/>
          <w:lang w:val="en-US" w:eastAsia="zh-CN"/>
        </w:rPr>
        <w:t>750</w:t>
      </w:r>
      <w:r>
        <w:rPr>
          <w:rFonts w:hint="eastAsia" w:ascii="仿宋" w:hAnsi="仿宋" w:eastAsia="仿宋" w:cs="仿宋_GB2312"/>
          <w:sz w:val="32"/>
          <w:szCs w:val="32"/>
        </w:rPr>
        <w:t>万元，全年总支出</w:t>
      </w:r>
      <w:r>
        <w:rPr>
          <w:rFonts w:hint="eastAsia" w:ascii="仿宋" w:hAnsi="仿宋" w:eastAsia="仿宋" w:cs="仿宋_GB2312"/>
          <w:sz w:val="32"/>
          <w:szCs w:val="32"/>
          <w:lang w:val="en-US" w:eastAsia="zh-CN"/>
        </w:rPr>
        <w:t>1024.70</w:t>
      </w:r>
      <w:r>
        <w:rPr>
          <w:rFonts w:hint="eastAsia" w:ascii="仿宋" w:hAnsi="仿宋" w:eastAsia="仿宋" w:cs="仿宋_GB2312"/>
          <w:sz w:val="32"/>
          <w:szCs w:val="32"/>
        </w:rPr>
        <w:t>万元，年末结转750万元。</w:t>
      </w:r>
    </w:p>
    <w:p>
      <w:pPr>
        <w:spacing w:line="580" w:lineRule="exact"/>
        <w:rPr>
          <w:rFonts w:ascii="仿宋" w:hAnsi="仿宋" w:eastAsia="仿宋" w:cs="FangSong_GB2312"/>
          <w:sz w:val="32"/>
          <w:szCs w:val="32"/>
        </w:rPr>
      </w:pPr>
      <w:r>
        <w:rPr>
          <w:rFonts w:ascii="仿宋" w:hAnsi="仿宋" w:eastAsia="仿宋" w:cs="FangSong_GB2312"/>
          <w:sz w:val="32"/>
          <w:szCs w:val="32"/>
        </w:rPr>
        <w:t>（二）部门财政资金支出情况。</w:t>
      </w:r>
    </w:p>
    <w:p>
      <w:pPr>
        <w:spacing w:line="600" w:lineRule="exact"/>
        <w:ind w:firstLine="640"/>
        <w:rPr>
          <w:rFonts w:ascii="FangSong_GB2312" w:eastAsia="FangSong_GB2312"/>
          <w:color w:val="000000"/>
          <w:sz w:val="32"/>
          <w:szCs w:val="32"/>
        </w:rPr>
      </w:pPr>
      <w:r>
        <w:rPr>
          <w:rFonts w:hint="eastAsia" w:ascii="仿宋" w:hAnsi="仿宋" w:eastAsia="仿宋" w:cs="仿宋_GB2312"/>
          <w:sz w:val="32"/>
          <w:szCs w:val="32"/>
        </w:rPr>
        <w:t>教育支出</w:t>
      </w:r>
      <w:r>
        <w:rPr>
          <w:rFonts w:hint="eastAsia" w:ascii="仿宋" w:hAnsi="仿宋" w:eastAsia="仿宋" w:cs="仿宋_GB2312"/>
          <w:sz w:val="32"/>
          <w:szCs w:val="32"/>
          <w:lang w:val="en-US" w:eastAsia="zh-CN"/>
        </w:rPr>
        <w:t>826.90</w:t>
      </w:r>
      <w:r>
        <w:rPr>
          <w:rFonts w:hint="eastAsia" w:ascii="仿宋" w:hAnsi="仿宋" w:eastAsia="仿宋" w:cs="仿宋_GB2312"/>
          <w:sz w:val="32"/>
          <w:szCs w:val="32"/>
        </w:rPr>
        <w:t>万元，社会保障和就业支出（基本养老保险）</w:t>
      </w:r>
      <w:r>
        <w:rPr>
          <w:rFonts w:hint="eastAsia" w:ascii="仿宋" w:hAnsi="仿宋" w:eastAsia="仿宋" w:cs="仿宋_GB2312"/>
          <w:sz w:val="32"/>
          <w:szCs w:val="32"/>
          <w:lang w:val="en-US" w:eastAsia="zh-CN"/>
        </w:rPr>
        <w:t>88.11</w:t>
      </w:r>
      <w:r>
        <w:rPr>
          <w:rFonts w:hint="eastAsia" w:ascii="仿宋" w:hAnsi="仿宋" w:eastAsia="仿宋" w:cs="仿宋_GB2312"/>
          <w:sz w:val="32"/>
          <w:szCs w:val="32"/>
        </w:rPr>
        <w:t>万元，医疗卫生支出（基本医疗保险）</w:t>
      </w:r>
      <w:r>
        <w:rPr>
          <w:rFonts w:hint="eastAsia" w:ascii="仿宋" w:hAnsi="仿宋" w:eastAsia="仿宋" w:cs="仿宋_GB2312"/>
          <w:sz w:val="32"/>
          <w:szCs w:val="32"/>
          <w:lang w:val="en-US" w:eastAsia="zh-CN"/>
        </w:rPr>
        <w:t>41.46</w:t>
      </w:r>
      <w:r>
        <w:rPr>
          <w:rFonts w:hint="eastAsia" w:ascii="仿宋" w:hAnsi="仿宋" w:eastAsia="仿宋" w:cs="仿宋_GB2312"/>
          <w:sz w:val="32"/>
          <w:szCs w:val="32"/>
        </w:rPr>
        <w:t>万元，住房保障支出（住房公积金）</w:t>
      </w:r>
      <w:r>
        <w:rPr>
          <w:rFonts w:hint="eastAsia" w:ascii="仿宋" w:hAnsi="仿宋" w:eastAsia="仿宋" w:cs="仿宋_GB2312"/>
          <w:sz w:val="32"/>
          <w:szCs w:val="32"/>
          <w:lang w:val="en-US" w:eastAsia="zh-CN"/>
        </w:rPr>
        <w:t>63.23</w:t>
      </w:r>
      <w:r>
        <w:rPr>
          <w:rFonts w:hint="eastAsia" w:ascii="仿宋" w:hAnsi="仿宋" w:eastAsia="仿宋" w:cs="仿宋_GB2312"/>
          <w:sz w:val="32"/>
          <w:szCs w:val="32"/>
        </w:rPr>
        <w:t>万元，</w:t>
      </w:r>
      <w:r>
        <w:rPr>
          <w:rFonts w:hint="eastAsia" w:ascii="FangSong_GB2312" w:eastAsia="FangSong_GB2312"/>
          <w:color w:val="000000"/>
          <w:sz w:val="32"/>
          <w:szCs w:val="32"/>
        </w:rPr>
        <w:t>政府性基金预算拨款支出</w:t>
      </w:r>
      <w:r>
        <w:rPr>
          <w:rFonts w:hint="eastAsia" w:ascii="FangSong_GB2312" w:eastAsiaTheme="minorEastAsia"/>
          <w:color w:val="000000"/>
          <w:sz w:val="32"/>
          <w:szCs w:val="32"/>
        </w:rPr>
        <w:t>5</w:t>
      </w:r>
      <w:r>
        <w:rPr>
          <w:rFonts w:hint="eastAsia" w:ascii="FangSong_GB2312" w:eastAsia="FangSong_GB2312"/>
          <w:color w:val="000000"/>
          <w:sz w:val="32"/>
          <w:szCs w:val="32"/>
        </w:rPr>
        <w:t>万元。</w:t>
      </w:r>
      <w:r>
        <w:rPr>
          <w:rFonts w:hint="eastAsia" w:ascii="仿宋" w:hAnsi="仿宋" w:eastAsia="仿宋" w:cs="仿宋_GB2312"/>
          <w:sz w:val="32"/>
          <w:szCs w:val="32"/>
        </w:rPr>
        <w:t>其中基本支出</w:t>
      </w:r>
      <w:r>
        <w:rPr>
          <w:rFonts w:hint="eastAsia" w:ascii="仿宋" w:hAnsi="仿宋" w:eastAsia="仿宋" w:cs="仿宋_GB2312"/>
          <w:sz w:val="32"/>
          <w:szCs w:val="32"/>
          <w:lang w:val="en-US" w:eastAsia="zh-CN"/>
        </w:rPr>
        <w:t>987.25</w:t>
      </w:r>
      <w:r>
        <w:rPr>
          <w:rFonts w:hint="eastAsia" w:ascii="仿宋" w:hAnsi="仿宋" w:eastAsia="仿宋" w:cs="仿宋_GB2312"/>
          <w:sz w:val="32"/>
          <w:szCs w:val="32"/>
        </w:rPr>
        <w:t>万元，项目支出</w:t>
      </w:r>
      <w:r>
        <w:rPr>
          <w:rFonts w:hint="eastAsia" w:ascii="仿宋" w:hAnsi="仿宋" w:eastAsia="仿宋" w:cs="仿宋_GB2312"/>
          <w:sz w:val="32"/>
          <w:szCs w:val="32"/>
          <w:lang w:val="en-US" w:eastAsia="zh-CN"/>
        </w:rPr>
        <w:t>37.45</w:t>
      </w:r>
      <w:r>
        <w:rPr>
          <w:rFonts w:hint="eastAsia" w:ascii="仿宋" w:hAnsi="仿宋" w:eastAsia="仿宋" w:cs="仿宋_GB2312"/>
          <w:sz w:val="32"/>
          <w:szCs w:val="32"/>
        </w:rPr>
        <w:t>万元。</w:t>
      </w:r>
    </w:p>
    <w:p>
      <w:pPr>
        <w:spacing w:line="580" w:lineRule="exact"/>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320" w:firstLineChars="100"/>
        <w:rPr>
          <w:rFonts w:ascii="仿宋" w:hAnsi="仿宋" w:eastAsia="仿宋" w:cs="FangSong_GB2312"/>
          <w:sz w:val="32"/>
          <w:szCs w:val="32"/>
        </w:rPr>
      </w:pPr>
      <w:r>
        <w:rPr>
          <w:rFonts w:ascii="仿宋" w:hAnsi="仿宋" w:eastAsia="仿宋" w:cs="FangSong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预算绩效管理要求，开江县讲治镇中心小学以“部门职责—工作活动”为依据，确定部门预算项目和预算额度，清晰描述预算项目开支范围和内容，确定预算项目的绩效目标、绩效指标和评价标准，为预算绩效控制、绩效分析、绩效评价打下好的基础。</w:t>
      </w:r>
    </w:p>
    <w:p>
      <w:pPr>
        <w:spacing w:line="580" w:lineRule="exact"/>
        <w:ind w:firstLine="320" w:firstLineChars="100"/>
        <w:rPr>
          <w:rFonts w:ascii="仿宋" w:hAnsi="仿宋" w:eastAsia="仿宋" w:cs="FangSong_GB2312"/>
          <w:sz w:val="32"/>
          <w:szCs w:val="32"/>
        </w:rPr>
      </w:pPr>
      <w:r>
        <w:rPr>
          <w:rFonts w:ascii="仿宋" w:hAnsi="仿宋" w:eastAsia="仿宋" w:cs="FangSong_GB2312"/>
          <w:sz w:val="32"/>
          <w:szCs w:val="32"/>
        </w:rPr>
        <w:t>（二）专项预算管理。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1、按规定要求履行了立项手续，可行性研究报告、预算批复文件、专家论证等相关附件资料齐全，项目预算资金科学合理。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2、财政资金拨付到位及时，并按合同要求付款。</w:t>
      </w:r>
    </w:p>
    <w:p>
      <w:pPr>
        <w:spacing w:line="580" w:lineRule="exact"/>
        <w:ind w:left="638" w:leftChars="304"/>
        <w:rPr>
          <w:rFonts w:ascii="仿宋" w:hAnsi="仿宋" w:eastAsia="仿宋" w:cs="仿宋_GB2312"/>
          <w:sz w:val="32"/>
          <w:szCs w:val="32"/>
        </w:rPr>
      </w:pPr>
      <w:r>
        <w:rPr>
          <w:rFonts w:hint="eastAsia" w:ascii="仿宋" w:hAnsi="仿宋" w:eastAsia="仿宋" w:cs="仿宋_GB2312"/>
          <w:sz w:val="32"/>
          <w:szCs w:val="32"/>
        </w:rPr>
        <w:t>3、已建立项目管理制度并按照项目管理制度要求执行。4、按期保质保量完成建设。</w:t>
      </w:r>
    </w:p>
    <w:p>
      <w:pPr>
        <w:spacing w:line="580" w:lineRule="exact"/>
        <w:ind w:firstLine="320" w:firstLineChars="100"/>
        <w:rPr>
          <w:rFonts w:ascii="仿宋" w:hAnsi="仿宋" w:eastAsia="仿宋" w:cs="FangSong_GB2312"/>
          <w:sz w:val="32"/>
          <w:szCs w:val="32"/>
        </w:rPr>
      </w:pPr>
      <w:r>
        <w:rPr>
          <w:rFonts w:ascii="仿宋" w:hAnsi="仿宋" w:eastAsia="仿宋" w:cs="FangSong_GB2312"/>
          <w:sz w:val="32"/>
          <w:szCs w:val="32"/>
        </w:rPr>
        <w:t>（三）结果应用情况。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通过绩效评价，我们认为，20</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年度部门预算具有明确的用途和目标，制定了详细的执行计划，资金到位及时并严格按照财政有关规定使用。预算决策、管理、执行等日益规范，能较好地满足工作需要，取得了良好经济效益和社会效益。</w:t>
      </w:r>
    </w:p>
    <w:p>
      <w:pPr>
        <w:spacing w:line="580" w:lineRule="exact"/>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hint="eastAsia" w:ascii="仿宋" w:hAnsi="仿宋" w:eastAsia="仿宋" w:cs="FangSong_GB2312"/>
          <w:sz w:val="32"/>
          <w:szCs w:val="32"/>
          <w:lang w:val="zh-CN"/>
        </w:rPr>
      </w:pPr>
      <w:r>
        <w:rPr>
          <w:rFonts w:hint="eastAsia" w:ascii="仿宋" w:hAnsi="仿宋" w:eastAsia="仿宋" w:cs="FangSong_GB2312"/>
          <w:sz w:val="32"/>
          <w:szCs w:val="32"/>
          <w:lang w:val="zh-CN"/>
        </w:rPr>
        <w:t>（一）评价结论。</w:t>
      </w:r>
    </w:p>
    <w:p>
      <w:pPr>
        <w:spacing w:line="580" w:lineRule="exact"/>
        <w:ind w:firstLine="640" w:firstLineChars="200"/>
        <w:rPr>
          <w:rFonts w:hint="eastAsia" w:ascii="仿宋" w:hAnsi="仿宋" w:eastAsia="仿宋" w:cs="FangSong_GB2312"/>
          <w:sz w:val="32"/>
          <w:szCs w:val="32"/>
          <w:lang w:val="zh-CN"/>
        </w:rPr>
      </w:pPr>
      <w:r>
        <w:rPr>
          <w:rFonts w:hint="eastAsia" w:ascii="仿宋" w:hAnsi="仿宋" w:eastAsia="仿宋" w:cs="FangSong_GB2312"/>
          <w:sz w:val="32"/>
          <w:szCs w:val="32"/>
          <w:lang w:val="zh-CN"/>
        </w:rPr>
        <w:t>本年度保障了教职工的工资福利、遗属的生活补助、幼儿园代课教师和临时工工资按时足额发放；确保学校正常运转，全面提升学校的教育教学质量；关心关爱留守学生，做好了对贫困小学生和学前贫困幼儿生资助工作。对学校校舍和设备进行维修维护，使设施完好率达100％。规划好</w:t>
      </w:r>
      <w:r>
        <w:rPr>
          <w:rFonts w:hint="eastAsia" w:ascii="仿宋" w:hAnsi="仿宋" w:eastAsia="仿宋" w:cs="FangSong_GB2312"/>
          <w:sz w:val="32"/>
          <w:szCs w:val="32"/>
          <w:lang w:val="en-US" w:eastAsia="zh-CN"/>
        </w:rPr>
        <w:t>活动</w:t>
      </w:r>
      <w:r>
        <w:rPr>
          <w:rFonts w:hint="eastAsia" w:ascii="仿宋" w:hAnsi="仿宋" w:eastAsia="仿宋" w:cs="FangSong_GB2312"/>
          <w:sz w:val="32"/>
          <w:szCs w:val="32"/>
          <w:lang w:val="zh-CN"/>
        </w:rPr>
        <w:t>场</w:t>
      </w:r>
      <w:r>
        <w:rPr>
          <w:rFonts w:hint="eastAsia" w:ascii="仿宋" w:hAnsi="仿宋" w:eastAsia="仿宋" w:cs="FangSong_GB2312"/>
          <w:sz w:val="32"/>
          <w:szCs w:val="32"/>
          <w:lang w:val="en-US" w:eastAsia="zh-CN"/>
        </w:rPr>
        <w:t>地</w:t>
      </w:r>
      <w:r>
        <w:rPr>
          <w:rFonts w:hint="eastAsia" w:ascii="仿宋" w:hAnsi="仿宋" w:eastAsia="仿宋" w:cs="FangSong_GB2312"/>
          <w:sz w:val="32"/>
          <w:szCs w:val="32"/>
          <w:lang w:val="zh-CN"/>
        </w:rPr>
        <w:t>的改造，创建</w:t>
      </w:r>
      <w:r>
        <w:rPr>
          <w:rFonts w:hint="eastAsia" w:ascii="仿宋" w:hAnsi="仿宋" w:eastAsia="仿宋" w:cs="FangSong_GB2312"/>
          <w:sz w:val="32"/>
          <w:szCs w:val="32"/>
          <w:lang w:val="en-US" w:eastAsia="zh-CN"/>
        </w:rPr>
        <w:t>了廉洁学校示范点</w:t>
      </w:r>
      <w:r>
        <w:rPr>
          <w:rFonts w:hint="eastAsia" w:ascii="仿宋" w:hAnsi="仿宋" w:eastAsia="仿宋" w:cs="FangSong_GB2312"/>
          <w:sz w:val="32"/>
          <w:szCs w:val="32"/>
          <w:lang w:val="zh-CN"/>
        </w:rPr>
        <w:t>，加强校园文化和党风廉政建设。推进了教育信息化建设，圆满完成了各项教育教学任务，取得了可喜的成绩。</w:t>
      </w:r>
    </w:p>
    <w:p>
      <w:pPr>
        <w:spacing w:line="580" w:lineRule="exact"/>
        <w:ind w:firstLine="640" w:firstLineChars="200"/>
        <w:rPr>
          <w:rFonts w:hint="eastAsia" w:ascii="仿宋" w:hAnsi="仿宋" w:eastAsia="仿宋" w:cs="FangSong_GB2312"/>
          <w:sz w:val="32"/>
          <w:szCs w:val="32"/>
          <w:lang w:val="zh-CN"/>
        </w:rPr>
      </w:pPr>
      <w:r>
        <w:rPr>
          <w:rFonts w:hint="eastAsia" w:ascii="仿宋" w:hAnsi="仿宋" w:eastAsia="仿宋" w:cs="FangSong_GB2312"/>
          <w:sz w:val="32"/>
          <w:szCs w:val="32"/>
          <w:lang w:val="zh-CN"/>
        </w:rPr>
        <w:t>（</w:t>
      </w:r>
      <w:r>
        <w:rPr>
          <w:rFonts w:hint="eastAsia" w:ascii="仿宋" w:hAnsi="仿宋" w:eastAsia="仿宋" w:cs="FangSong_GB2312"/>
          <w:sz w:val="32"/>
          <w:szCs w:val="32"/>
          <w:lang w:val="en-US" w:eastAsia="zh-CN"/>
        </w:rPr>
        <w:t>二</w:t>
      </w:r>
      <w:r>
        <w:rPr>
          <w:rFonts w:hint="eastAsia" w:ascii="仿宋" w:hAnsi="仿宋" w:eastAsia="仿宋" w:cs="FangSong_GB2312"/>
          <w:sz w:val="32"/>
          <w:szCs w:val="32"/>
          <w:lang w:val="zh-CN"/>
        </w:rPr>
        <w:t>）存在问题。</w:t>
      </w:r>
    </w:p>
    <w:p>
      <w:pPr>
        <w:spacing w:line="580" w:lineRule="exact"/>
        <w:ind w:firstLine="640" w:firstLineChars="200"/>
        <w:rPr>
          <w:rFonts w:hint="eastAsia" w:ascii="仿宋" w:hAnsi="仿宋" w:eastAsia="仿宋" w:cs="FangSong_GB2312"/>
          <w:sz w:val="32"/>
          <w:szCs w:val="32"/>
          <w:lang w:val="en-US" w:eastAsia="zh-CN"/>
        </w:rPr>
      </w:pPr>
      <w:r>
        <w:rPr>
          <w:rFonts w:hint="eastAsia" w:ascii="仿宋" w:hAnsi="仿宋" w:eastAsia="仿宋" w:cs="FangSong_GB2312"/>
          <w:sz w:val="32"/>
          <w:szCs w:val="32"/>
          <w:lang w:val="en-US" w:eastAsia="zh-CN"/>
        </w:rPr>
        <w:t xml:space="preserve">    （1）年度目标规划的大而散，制定年度目标时不精准，缺乏时效性、可操作性。</w:t>
      </w:r>
    </w:p>
    <w:p>
      <w:pPr>
        <w:spacing w:line="580" w:lineRule="exact"/>
        <w:ind w:firstLine="640" w:firstLineChars="200"/>
        <w:rPr>
          <w:rFonts w:hint="eastAsia" w:ascii="仿宋" w:hAnsi="仿宋" w:eastAsia="仿宋" w:cs="FangSong_GB2312"/>
          <w:sz w:val="32"/>
          <w:szCs w:val="32"/>
          <w:lang w:val="en-US" w:eastAsia="zh-CN"/>
        </w:rPr>
      </w:pPr>
      <w:r>
        <w:rPr>
          <w:rFonts w:hint="eastAsia" w:ascii="仿宋" w:hAnsi="仿宋" w:eastAsia="仿宋" w:cs="FangSong_GB2312"/>
          <w:sz w:val="32"/>
          <w:szCs w:val="32"/>
          <w:lang w:val="en-US" w:eastAsia="zh-CN"/>
        </w:rPr>
        <w:t>（2）年初预算编制和执行不精细。学校在年初预算编制时，有些科目欠规范，在执行预算的过程中欠到位，责任分配不明确。</w:t>
      </w:r>
    </w:p>
    <w:p>
      <w:pPr>
        <w:spacing w:line="580" w:lineRule="exact"/>
        <w:ind w:firstLine="640" w:firstLineChars="200"/>
        <w:rPr>
          <w:rFonts w:hint="eastAsia" w:ascii="仿宋" w:hAnsi="仿宋" w:eastAsia="仿宋" w:cs="FangSong_GB2312"/>
          <w:sz w:val="32"/>
          <w:szCs w:val="32"/>
          <w:lang w:val="en-US" w:eastAsia="zh-CN"/>
        </w:rPr>
      </w:pPr>
      <w:r>
        <w:rPr>
          <w:rFonts w:hint="eastAsia" w:ascii="仿宋" w:hAnsi="仿宋" w:eastAsia="仿宋" w:cs="FangSong_GB2312"/>
          <w:sz w:val="32"/>
          <w:szCs w:val="32"/>
          <w:lang w:val="en-US" w:eastAsia="zh-CN"/>
        </w:rPr>
        <w:t>（3）学校监督措施及评价体系还不尽完善，建立健全内部控制监督机制不科学。</w:t>
      </w:r>
    </w:p>
    <w:p>
      <w:pPr>
        <w:spacing w:line="580" w:lineRule="exact"/>
        <w:ind w:firstLine="640" w:firstLineChars="200"/>
        <w:rPr>
          <w:rFonts w:hint="eastAsia" w:ascii="仿宋" w:hAnsi="仿宋" w:eastAsia="仿宋" w:cs="FangSong_GB2312"/>
          <w:sz w:val="32"/>
          <w:szCs w:val="32"/>
          <w:lang w:val="en-US" w:eastAsia="zh-CN"/>
        </w:rPr>
      </w:pPr>
      <w:r>
        <w:rPr>
          <w:rFonts w:hint="eastAsia" w:ascii="仿宋" w:hAnsi="仿宋" w:eastAsia="仿宋" w:cs="FangSong_GB2312"/>
          <w:sz w:val="32"/>
          <w:szCs w:val="32"/>
          <w:lang w:val="en-US" w:eastAsia="zh-CN"/>
        </w:rPr>
        <w:t>（4）评价指标体系不完善，实际操作有难度。</w:t>
      </w:r>
    </w:p>
    <w:p>
      <w:pPr>
        <w:spacing w:line="580" w:lineRule="exact"/>
        <w:ind w:firstLine="640" w:firstLineChars="200"/>
        <w:rPr>
          <w:rFonts w:hint="default" w:ascii="仿宋" w:hAnsi="仿宋" w:eastAsia="仿宋" w:cs="FangSong_GB2312"/>
          <w:sz w:val="32"/>
          <w:szCs w:val="32"/>
          <w:lang w:val="en-US" w:eastAsia="zh-CN"/>
        </w:rPr>
      </w:pPr>
      <w:r>
        <w:rPr>
          <w:rFonts w:hint="eastAsia" w:ascii="仿宋" w:hAnsi="仿宋" w:eastAsia="仿宋" w:cs="FangSong_GB2312"/>
          <w:sz w:val="32"/>
          <w:szCs w:val="32"/>
          <w:lang w:val="en-US" w:eastAsia="zh-CN"/>
        </w:rPr>
        <w:t>（5）专业人员的业务素养有待提高，对业务人员培训不够。</w:t>
      </w:r>
    </w:p>
    <w:p>
      <w:pPr>
        <w:spacing w:line="580" w:lineRule="exact"/>
        <w:ind w:firstLine="640" w:firstLineChars="200"/>
        <w:rPr>
          <w:rFonts w:ascii="仿宋" w:hAnsi="仿宋" w:eastAsia="仿宋" w:cs="FangSong_GB2312"/>
          <w:sz w:val="32"/>
          <w:szCs w:val="32"/>
          <w:lang w:val="zh-CN"/>
        </w:rPr>
      </w:pPr>
      <w:r>
        <w:rPr>
          <w:rFonts w:hint="eastAsia" w:ascii="仿宋" w:hAnsi="仿宋" w:eastAsia="仿宋" w:cs="FangSong_GB2312"/>
          <w:sz w:val="32"/>
          <w:szCs w:val="32"/>
          <w:lang w:val="zh-CN"/>
        </w:rPr>
        <w:t>（三）改进建议。</w:t>
      </w:r>
    </w:p>
    <w:p>
      <w:pPr>
        <w:spacing w:line="580" w:lineRule="exact"/>
        <w:ind w:firstLine="640" w:firstLineChars="200"/>
        <w:rPr>
          <w:rFonts w:hint="eastAsia" w:ascii="仿宋" w:hAnsi="仿宋" w:eastAsia="仿宋" w:cs="FangSong_GB2312"/>
          <w:sz w:val="32"/>
          <w:szCs w:val="32"/>
        </w:rPr>
      </w:pPr>
      <w:r>
        <w:rPr>
          <w:rFonts w:hint="eastAsia" w:ascii="仿宋" w:hAnsi="仿宋" w:eastAsia="仿宋" w:cs="FangSong_GB2312"/>
          <w:sz w:val="32"/>
          <w:szCs w:val="32"/>
        </w:rPr>
        <w:t>一是完善相关制度，推进制度落实。依据相关法律、法规及管理办法，建立分级分类、使用高效、便于操作的实施细则及业务规范，制定绩效问责制度、公开制度。</w:t>
      </w:r>
    </w:p>
    <w:p>
      <w:pPr>
        <w:spacing w:line="580" w:lineRule="exact"/>
        <w:ind w:firstLine="640" w:firstLineChars="200"/>
        <w:rPr>
          <w:rFonts w:hint="eastAsia" w:ascii="仿宋" w:hAnsi="仿宋" w:eastAsia="仿宋" w:cs="FangSong_GB2312"/>
          <w:sz w:val="32"/>
          <w:szCs w:val="32"/>
        </w:rPr>
      </w:pPr>
      <w:r>
        <w:rPr>
          <w:rFonts w:hint="eastAsia" w:ascii="仿宋" w:hAnsi="仿宋" w:eastAsia="仿宋" w:cs="FangSong_GB2312"/>
          <w:sz w:val="32"/>
          <w:szCs w:val="32"/>
        </w:rPr>
        <w:t>二是科学组织预算绩效评价工作，完善预算绩效管理指标数据库。</w:t>
      </w:r>
    </w:p>
    <w:p>
      <w:pPr>
        <w:spacing w:line="580" w:lineRule="exact"/>
        <w:ind w:firstLine="640" w:firstLineChars="200"/>
        <w:rPr>
          <w:rFonts w:hint="eastAsia" w:ascii="仿宋" w:hAnsi="仿宋" w:eastAsia="仿宋" w:cs="FangSong_GB2312"/>
          <w:sz w:val="32"/>
          <w:szCs w:val="32"/>
        </w:rPr>
      </w:pPr>
      <w:r>
        <w:rPr>
          <w:rFonts w:hint="eastAsia" w:ascii="仿宋" w:hAnsi="仿宋" w:eastAsia="仿宋" w:cs="FangSong_GB2312"/>
          <w:sz w:val="32"/>
          <w:szCs w:val="32"/>
        </w:rPr>
        <w:t>三是引入第三方评价机制，形成内外部评价相互补充，财政部门、预算单位和受托第三方评价机构各司其职、密切配合的机制，提高评价结果的权威性和公正性。</w:t>
      </w:r>
    </w:p>
    <w:p>
      <w:pPr>
        <w:spacing w:line="580" w:lineRule="exact"/>
        <w:ind w:firstLine="640" w:firstLineChars="200"/>
        <w:rPr>
          <w:rFonts w:ascii="仿宋" w:hAnsi="仿宋" w:eastAsia="仿宋" w:cs="FangSong_GB2312"/>
          <w:sz w:val="32"/>
          <w:szCs w:val="32"/>
        </w:rPr>
      </w:pPr>
      <w:r>
        <w:rPr>
          <w:rFonts w:hint="eastAsia" w:ascii="仿宋" w:hAnsi="仿宋" w:eastAsia="仿宋" w:cs="FangSong_GB2312"/>
          <w:sz w:val="32"/>
          <w:szCs w:val="32"/>
        </w:rPr>
        <w:t>四是组织业务培训，提高业务水平和能力，培养一批专业人才队伍。</w:t>
      </w:r>
    </w:p>
    <w:p>
      <w:pPr>
        <w:spacing w:line="580" w:lineRule="exact"/>
        <w:ind w:firstLine="640" w:firstLineChars="200"/>
        <w:rPr>
          <w:rFonts w:ascii="仿宋" w:hAnsi="仿宋" w:eastAsia="仿宋" w:cs="FangSong_GB2312"/>
          <w:sz w:val="32"/>
          <w:szCs w:val="32"/>
        </w:rPr>
      </w:pPr>
    </w:p>
    <w:p>
      <w:pPr>
        <w:spacing w:line="580" w:lineRule="exact"/>
        <w:ind w:firstLine="640" w:firstLineChars="200"/>
        <w:rPr>
          <w:rFonts w:ascii="仿宋" w:hAnsi="仿宋" w:eastAsia="仿宋" w:cs="FangSong_GB2312"/>
          <w:sz w:val="32"/>
          <w:szCs w:val="32"/>
        </w:rPr>
      </w:pPr>
    </w:p>
    <w:p>
      <w:pPr>
        <w:spacing w:line="580" w:lineRule="exact"/>
        <w:ind w:firstLine="640" w:firstLineChars="200"/>
        <w:rPr>
          <w:rFonts w:ascii="仿宋" w:hAnsi="仿宋" w:eastAsia="仿宋" w:cs="FangSong_GB2312"/>
          <w:sz w:val="32"/>
          <w:szCs w:val="32"/>
        </w:rPr>
      </w:pPr>
    </w:p>
    <w:p>
      <w:pPr>
        <w:spacing w:line="580" w:lineRule="exact"/>
        <w:ind w:firstLine="640" w:firstLineChars="200"/>
        <w:rPr>
          <w:rFonts w:ascii="仿宋" w:hAnsi="仿宋" w:eastAsia="仿宋" w:cs="FangSong_GB2312"/>
          <w:sz w:val="32"/>
          <w:szCs w:val="32"/>
        </w:rPr>
      </w:pPr>
    </w:p>
    <w:p>
      <w:pPr>
        <w:spacing w:line="580" w:lineRule="exact"/>
        <w:ind w:firstLine="640" w:firstLineChars="200"/>
        <w:rPr>
          <w:rFonts w:ascii="仿宋" w:hAnsi="仿宋" w:eastAsia="仿宋" w:cs="FangSong_GB2312"/>
          <w:sz w:val="32"/>
          <w:szCs w:val="32"/>
        </w:rPr>
      </w:pPr>
    </w:p>
    <w:p>
      <w:pPr>
        <w:spacing w:line="580" w:lineRule="exact"/>
        <w:ind w:firstLine="640" w:firstLineChars="200"/>
        <w:rPr>
          <w:rFonts w:ascii="仿宋" w:hAnsi="仿宋" w:eastAsia="仿宋" w:cs="FangSong_GB2312"/>
          <w:sz w:val="32"/>
          <w:szCs w:val="32"/>
        </w:rPr>
      </w:pPr>
    </w:p>
    <w:p>
      <w:pPr>
        <w:spacing w:line="580" w:lineRule="exact"/>
        <w:ind w:firstLine="640" w:firstLineChars="200"/>
        <w:rPr>
          <w:rFonts w:ascii="仿宋" w:hAnsi="仿宋" w:eastAsia="仿宋" w:cs="FangSong_GB2312"/>
          <w:sz w:val="32"/>
          <w:szCs w:val="32"/>
        </w:rPr>
      </w:pPr>
    </w:p>
    <w:p>
      <w:pPr>
        <w:widowControl/>
        <w:jc w:val="left"/>
        <w:rPr>
          <w:rFonts w:ascii="FangSong_GB2312" w:hAnsi="FangSong_GB2312" w:eastAsia="FangSong_GB2312" w:cs="FangSong_GB2312"/>
          <w:sz w:val="32"/>
          <w:szCs w:val="32"/>
        </w:rPr>
      </w:pPr>
      <w:r>
        <w:rPr>
          <w:rFonts w:ascii="FangSong_GB2312" w:hAnsi="FangSong_GB2312" w:eastAsia="FangSong_GB2312" w:cs="FangSong_GB2312"/>
          <w:sz w:val="32"/>
          <w:szCs w:val="32"/>
        </w:rPr>
        <w:br w:type="page"/>
      </w:r>
    </w:p>
    <w:p>
      <w:pPr>
        <w:spacing w:line="600" w:lineRule="exact"/>
        <w:jc w:val="center"/>
        <w:outlineLvl w:val="0"/>
        <w:rPr>
          <w:rStyle w:val="24"/>
          <w:rFonts w:ascii="黑体" w:hAnsi="黑体" w:eastAsia="黑体"/>
          <w:b w:val="0"/>
        </w:rPr>
      </w:pPr>
      <w:bookmarkStart w:id="61"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61"/>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2"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2"/>
    </w:p>
    <w:p>
      <w:pPr>
        <w:pStyle w:val="3"/>
        <w:rPr>
          <w:rFonts w:ascii="仿宋" w:hAnsi="仿宋" w:eastAsia="仿宋"/>
          <w:color w:val="000000"/>
        </w:rPr>
      </w:pPr>
      <w:bookmarkStart w:id="63"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3"/>
    </w:p>
    <w:p>
      <w:pPr>
        <w:pStyle w:val="3"/>
        <w:rPr>
          <w:rFonts w:ascii="仿宋" w:hAnsi="仿宋" w:eastAsia="仿宋"/>
          <w:color w:val="000000"/>
        </w:rPr>
      </w:pPr>
      <w:bookmarkStart w:id="64"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4"/>
    </w:p>
    <w:p>
      <w:pPr>
        <w:pStyle w:val="3"/>
        <w:rPr>
          <w:rFonts w:ascii="仿宋" w:hAnsi="仿宋" w:eastAsia="仿宋"/>
          <w:b w:val="0"/>
          <w:color w:val="000000"/>
        </w:rPr>
      </w:pPr>
      <w:bookmarkStart w:id="65"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5"/>
    </w:p>
    <w:p>
      <w:pPr>
        <w:pStyle w:val="3"/>
        <w:rPr>
          <w:rFonts w:ascii="仿宋" w:hAnsi="仿宋" w:eastAsia="仿宋"/>
          <w:color w:val="000000"/>
        </w:rPr>
      </w:pPr>
      <w:bookmarkStart w:id="66"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6"/>
    </w:p>
    <w:p>
      <w:pPr>
        <w:pStyle w:val="3"/>
        <w:rPr>
          <w:rFonts w:ascii="仿宋" w:hAnsi="仿宋" w:eastAsia="仿宋"/>
          <w:color w:val="000000"/>
        </w:rPr>
      </w:pPr>
      <w:bookmarkStart w:id="67"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7"/>
    </w:p>
    <w:p>
      <w:pPr>
        <w:pStyle w:val="3"/>
        <w:rPr>
          <w:rFonts w:ascii="仿宋" w:hAnsi="仿宋" w:eastAsia="仿宋"/>
          <w:color w:val="000000"/>
        </w:rPr>
      </w:pPr>
      <w:bookmarkStart w:id="68"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8"/>
    </w:p>
    <w:p>
      <w:pPr>
        <w:pStyle w:val="3"/>
        <w:rPr>
          <w:rFonts w:ascii="仿宋" w:hAnsi="仿宋" w:eastAsia="仿宋"/>
          <w:color w:val="000000"/>
        </w:rPr>
      </w:pPr>
      <w:bookmarkStart w:id="69"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9"/>
    </w:p>
    <w:p>
      <w:pPr>
        <w:pStyle w:val="3"/>
        <w:rPr>
          <w:rFonts w:ascii="仿宋" w:hAnsi="仿宋" w:eastAsia="仿宋"/>
          <w:color w:val="000000"/>
        </w:rPr>
      </w:pPr>
      <w:bookmarkStart w:id="70"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0"/>
    </w:p>
    <w:p>
      <w:pPr>
        <w:pStyle w:val="3"/>
        <w:rPr>
          <w:rFonts w:ascii="仿宋" w:hAnsi="仿宋" w:eastAsia="仿宋"/>
          <w:color w:val="000000"/>
        </w:rPr>
      </w:pPr>
      <w:bookmarkStart w:id="71"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1"/>
    </w:p>
    <w:p>
      <w:pPr>
        <w:pStyle w:val="3"/>
        <w:rPr>
          <w:rFonts w:ascii="仿宋" w:hAnsi="仿宋" w:eastAsia="仿宋"/>
          <w:color w:val="000000"/>
        </w:rPr>
      </w:pPr>
      <w:bookmarkStart w:id="72"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2"/>
    </w:p>
    <w:p>
      <w:pPr>
        <w:pStyle w:val="3"/>
        <w:rPr>
          <w:rFonts w:ascii="仿宋" w:hAnsi="仿宋" w:eastAsia="仿宋"/>
          <w:color w:val="000000"/>
        </w:rPr>
      </w:pPr>
      <w:bookmarkStart w:id="73"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3"/>
    </w:p>
    <w:p>
      <w:pPr>
        <w:pStyle w:val="3"/>
        <w:rPr>
          <w:rStyle w:val="25"/>
          <w:rFonts w:hint="eastAsia" w:ascii="仿宋" w:hAnsi="仿宋" w:eastAsia="仿宋"/>
          <w:b w:val="0"/>
          <w:bCs w:val="0"/>
        </w:rPr>
      </w:pPr>
      <w:bookmarkStart w:id="74"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w:t>
      </w:r>
      <w:r>
        <w:rPr>
          <w:rStyle w:val="25"/>
          <w:rFonts w:hint="eastAsia" w:ascii="仿宋" w:hAnsi="仿宋" w:eastAsia="仿宋"/>
          <w:b w:val="0"/>
          <w:bCs w:val="0"/>
          <w:lang w:val="en-US" w:eastAsia="zh-CN"/>
        </w:rPr>
        <w:t>财政拨款收入</w:t>
      </w:r>
      <w:r>
        <w:rPr>
          <w:rStyle w:val="25"/>
          <w:rFonts w:hint="eastAsia" w:ascii="仿宋" w:hAnsi="仿宋" w:eastAsia="仿宋"/>
          <w:b w:val="0"/>
          <w:bCs w:val="0"/>
        </w:rPr>
        <w:t>支出决算表</w:t>
      </w:r>
      <w:bookmarkEnd w:id="74"/>
    </w:p>
    <w:p>
      <w:pPr>
        <w:rPr>
          <w:rFonts w:hint="default" w:eastAsia="仿宋"/>
          <w:lang w:val="en-US" w:eastAsia="zh-CN"/>
        </w:rPr>
      </w:pPr>
      <w:r>
        <w:rPr>
          <w:rStyle w:val="25"/>
          <w:rFonts w:hint="eastAsia" w:ascii="仿宋" w:hAnsi="仿宋" w:eastAsia="仿宋"/>
          <w:b w:val="0"/>
          <w:bCs w:val="0"/>
          <w:lang w:val="en-US"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20</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abstractNum w:abstractNumId="1">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5F45"/>
    <w:rsid w:val="00017D69"/>
    <w:rsid w:val="00017E64"/>
    <w:rsid w:val="000222C6"/>
    <w:rsid w:val="00023E63"/>
    <w:rsid w:val="0002549F"/>
    <w:rsid w:val="0002736C"/>
    <w:rsid w:val="00027976"/>
    <w:rsid w:val="0004253E"/>
    <w:rsid w:val="0006487A"/>
    <w:rsid w:val="00065F8F"/>
    <w:rsid w:val="00070215"/>
    <w:rsid w:val="000768F2"/>
    <w:rsid w:val="0009184B"/>
    <w:rsid w:val="0009593C"/>
    <w:rsid w:val="000B047F"/>
    <w:rsid w:val="000B2FEB"/>
    <w:rsid w:val="000B5923"/>
    <w:rsid w:val="000B5A48"/>
    <w:rsid w:val="000B6FF3"/>
    <w:rsid w:val="000C3467"/>
    <w:rsid w:val="000C3CA6"/>
    <w:rsid w:val="000C4460"/>
    <w:rsid w:val="000D1267"/>
    <w:rsid w:val="000D1D50"/>
    <w:rsid w:val="000D5782"/>
    <w:rsid w:val="000E6613"/>
    <w:rsid w:val="000E7119"/>
    <w:rsid w:val="00114E9B"/>
    <w:rsid w:val="00137185"/>
    <w:rsid w:val="00141ACD"/>
    <w:rsid w:val="0014344C"/>
    <w:rsid w:val="0014729F"/>
    <w:rsid w:val="001523F6"/>
    <w:rsid w:val="00157BAB"/>
    <w:rsid w:val="001654D1"/>
    <w:rsid w:val="00167F46"/>
    <w:rsid w:val="0017048C"/>
    <w:rsid w:val="0017193B"/>
    <w:rsid w:val="00175E83"/>
    <w:rsid w:val="0018106D"/>
    <w:rsid w:val="00182656"/>
    <w:rsid w:val="001877A7"/>
    <w:rsid w:val="00191536"/>
    <w:rsid w:val="00195490"/>
    <w:rsid w:val="00195D07"/>
    <w:rsid w:val="00196687"/>
    <w:rsid w:val="001B47EA"/>
    <w:rsid w:val="001C0962"/>
    <w:rsid w:val="001C56C4"/>
    <w:rsid w:val="001D3A6E"/>
    <w:rsid w:val="001D4BA9"/>
    <w:rsid w:val="001D7531"/>
    <w:rsid w:val="001E737D"/>
    <w:rsid w:val="001F0592"/>
    <w:rsid w:val="001F544D"/>
    <w:rsid w:val="001F7506"/>
    <w:rsid w:val="002006CD"/>
    <w:rsid w:val="00202B36"/>
    <w:rsid w:val="00204B7A"/>
    <w:rsid w:val="0021101A"/>
    <w:rsid w:val="00220536"/>
    <w:rsid w:val="0022732E"/>
    <w:rsid w:val="00235629"/>
    <w:rsid w:val="00236E6D"/>
    <w:rsid w:val="00260712"/>
    <w:rsid w:val="00260C38"/>
    <w:rsid w:val="002616C0"/>
    <w:rsid w:val="002662AA"/>
    <w:rsid w:val="00271E28"/>
    <w:rsid w:val="00280496"/>
    <w:rsid w:val="00294525"/>
    <w:rsid w:val="00295495"/>
    <w:rsid w:val="002A01D3"/>
    <w:rsid w:val="002B2613"/>
    <w:rsid w:val="002C007A"/>
    <w:rsid w:val="002D1BA2"/>
    <w:rsid w:val="002F1818"/>
    <w:rsid w:val="002F567B"/>
    <w:rsid w:val="0030513D"/>
    <w:rsid w:val="00312F37"/>
    <w:rsid w:val="003139FF"/>
    <w:rsid w:val="003216A9"/>
    <w:rsid w:val="0032425E"/>
    <w:rsid w:val="0032781D"/>
    <w:rsid w:val="00327870"/>
    <w:rsid w:val="00337AF0"/>
    <w:rsid w:val="00351C4A"/>
    <w:rsid w:val="00357573"/>
    <w:rsid w:val="0037013F"/>
    <w:rsid w:val="00380C92"/>
    <w:rsid w:val="003A484F"/>
    <w:rsid w:val="003B0BE0"/>
    <w:rsid w:val="003B0C1B"/>
    <w:rsid w:val="003B688C"/>
    <w:rsid w:val="003B697C"/>
    <w:rsid w:val="003C0291"/>
    <w:rsid w:val="003C0C95"/>
    <w:rsid w:val="003C39AE"/>
    <w:rsid w:val="003C3BF9"/>
    <w:rsid w:val="003C3C97"/>
    <w:rsid w:val="003C7B60"/>
    <w:rsid w:val="003D1FB2"/>
    <w:rsid w:val="003D66DA"/>
    <w:rsid w:val="003E1310"/>
    <w:rsid w:val="003E6F55"/>
    <w:rsid w:val="003E7103"/>
    <w:rsid w:val="003F041A"/>
    <w:rsid w:val="003F1D40"/>
    <w:rsid w:val="00403F5C"/>
    <w:rsid w:val="00406254"/>
    <w:rsid w:val="00407C15"/>
    <w:rsid w:val="004223DE"/>
    <w:rsid w:val="004230BF"/>
    <w:rsid w:val="00434489"/>
    <w:rsid w:val="00437085"/>
    <w:rsid w:val="00441EE4"/>
    <w:rsid w:val="00443880"/>
    <w:rsid w:val="004464F4"/>
    <w:rsid w:val="00471401"/>
    <w:rsid w:val="00473F31"/>
    <w:rsid w:val="004767D1"/>
    <w:rsid w:val="0048263A"/>
    <w:rsid w:val="00485638"/>
    <w:rsid w:val="00487E5D"/>
    <w:rsid w:val="004A1ED0"/>
    <w:rsid w:val="004A711F"/>
    <w:rsid w:val="004B199D"/>
    <w:rsid w:val="004B4690"/>
    <w:rsid w:val="004E0A2D"/>
    <w:rsid w:val="004E206B"/>
    <w:rsid w:val="004E6DF7"/>
    <w:rsid w:val="004E7C5A"/>
    <w:rsid w:val="004F0FBD"/>
    <w:rsid w:val="00505A47"/>
    <w:rsid w:val="00506026"/>
    <w:rsid w:val="00512FDA"/>
    <w:rsid w:val="00520DA0"/>
    <w:rsid w:val="00527B51"/>
    <w:rsid w:val="005431A9"/>
    <w:rsid w:val="00562517"/>
    <w:rsid w:val="0056483F"/>
    <w:rsid w:val="005655A2"/>
    <w:rsid w:val="005664BB"/>
    <w:rsid w:val="00566D75"/>
    <w:rsid w:val="0057191B"/>
    <w:rsid w:val="0057481D"/>
    <w:rsid w:val="0058486E"/>
    <w:rsid w:val="005C65CB"/>
    <w:rsid w:val="005D1C8B"/>
    <w:rsid w:val="005D5CED"/>
    <w:rsid w:val="005E4ECE"/>
    <w:rsid w:val="005F1A4C"/>
    <w:rsid w:val="00605688"/>
    <w:rsid w:val="006070AF"/>
    <w:rsid w:val="00607E6C"/>
    <w:rsid w:val="006101B1"/>
    <w:rsid w:val="00610E2A"/>
    <w:rsid w:val="00614484"/>
    <w:rsid w:val="00614E44"/>
    <w:rsid w:val="00622830"/>
    <w:rsid w:val="00630AEF"/>
    <w:rsid w:val="006325F8"/>
    <w:rsid w:val="00634C9A"/>
    <w:rsid w:val="006353FF"/>
    <w:rsid w:val="006440E4"/>
    <w:rsid w:val="00657961"/>
    <w:rsid w:val="0066343B"/>
    <w:rsid w:val="00664777"/>
    <w:rsid w:val="00667EBE"/>
    <w:rsid w:val="006748A4"/>
    <w:rsid w:val="00683E73"/>
    <w:rsid w:val="006A13A6"/>
    <w:rsid w:val="006A3141"/>
    <w:rsid w:val="006A4A4C"/>
    <w:rsid w:val="006A5E34"/>
    <w:rsid w:val="006B2422"/>
    <w:rsid w:val="006B2B9A"/>
    <w:rsid w:val="006C1937"/>
    <w:rsid w:val="006C53DB"/>
    <w:rsid w:val="006C741C"/>
    <w:rsid w:val="006F020C"/>
    <w:rsid w:val="006F42BA"/>
    <w:rsid w:val="0070583E"/>
    <w:rsid w:val="007127B7"/>
    <w:rsid w:val="007416B6"/>
    <w:rsid w:val="0074263D"/>
    <w:rsid w:val="00746F48"/>
    <w:rsid w:val="0075071E"/>
    <w:rsid w:val="0075404D"/>
    <w:rsid w:val="0076182A"/>
    <w:rsid w:val="007675C6"/>
    <w:rsid w:val="00767B7E"/>
    <w:rsid w:val="007715D6"/>
    <w:rsid w:val="00771790"/>
    <w:rsid w:val="007770C3"/>
    <w:rsid w:val="00783567"/>
    <w:rsid w:val="00784D24"/>
    <w:rsid w:val="00784EBA"/>
    <w:rsid w:val="00785FBA"/>
    <w:rsid w:val="00785FEB"/>
    <w:rsid w:val="00786E4A"/>
    <w:rsid w:val="007875EB"/>
    <w:rsid w:val="0079426B"/>
    <w:rsid w:val="007A331D"/>
    <w:rsid w:val="007A4529"/>
    <w:rsid w:val="007B34C7"/>
    <w:rsid w:val="007C65A7"/>
    <w:rsid w:val="007D312A"/>
    <w:rsid w:val="007D3F19"/>
    <w:rsid w:val="007E23B0"/>
    <w:rsid w:val="007F1991"/>
    <w:rsid w:val="007F2C2F"/>
    <w:rsid w:val="007F55FC"/>
    <w:rsid w:val="007F5665"/>
    <w:rsid w:val="00800112"/>
    <w:rsid w:val="0080042E"/>
    <w:rsid w:val="00813296"/>
    <w:rsid w:val="008215AE"/>
    <w:rsid w:val="008253BB"/>
    <w:rsid w:val="00833DD3"/>
    <w:rsid w:val="0083706E"/>
    <w:rsid w:val="008423A5"/>
    <w:rsid w:val="00842A09"/>
    <w:rsid w:val="00850625"/>
    <w:rsid w:val="00853718"/>
    <w:rsid w:val="00855221"/>
    <w:rsid w:val="00860645"/>
    <w:rsid w:val="00871F71"/>
    <w:rsid w:val="00885AF4"/>
    <w:rsid w:val="00887F65"/>
    <w:rsid w:val="008939CD"/>
    <w:rsid w:val="008A02B2"/>
    <w:rsid w:val="008B768C"/>
    <w:rsid w:val="008C4DB1"/>
    <w:rsid w:val="008C4EAF"/>
    <w:rsid w:val="008C5176"/>
    <w:rsid w:val="008C588F"/>
    <w:rsid w:val="008C7FD0"/>
    <w:rsid w:val="008E1DE7"/>
    <w:rsid w:val="008E707C"/>
    <w:rsid w:val="008F5CCD"/>
    <w:rsid w:val="008F76F4"/>
    <w:rsid w:val="00900B08"/>
    <w:rsid w:val="00902155"/>
    <w:rsid w:val="00902FA3"/>
    <w:rsid w:val="009112A5"/>
    <w:rsid w:val="00923564"/>
    <w:rsid w:val="0092392E"/>
    <w:rsid w:val="00923A02"/>
    <w:rsid w:val="009315F9"/>
    <w:rsid w:val="00931D12"/>
    <w:rsid w:val="00932FA8"/>
    <w:rsid w:val="0093402D"/>
    <w:rsid w:val="00946945"/>
    <w:rsid w:val="00951248"/>
    <w:rsid w:val="0095152F"/>
    <w:rsid w:val="00954C49"/>
    <w:rsid w:val="00965348"/>
    <w:rsid w:val="0097099F"/>
    <w:rsid w:val="00971997"/>
    <w:rsid w:val="00971FFC"/>
    <w:rsid w:val="00977103"/>
    <w:rsid w:val="00983749"/>
    <w:rsid w:val="009859E2"/>
    <w:rsid w:val="0098660A"/>
    <w:rsid w:val="009917C9"/>
    <w:rsid w:val="009931C3"/>
    <w:rsid w:val="009B2C43"/>
    <w:rsid w:val="009B4EAE"/>
    <w:rsid w:val="009B676D"/>
    <w:rsid w:val="009B7573"/>
    <w:rsid w:val="009C22F4"/>
    <w:rsid w:val="009C2E98"/>
    <w:rsid w:val="009C57FE"/>
    <w:rsid w:val="009D3447"/>
    <w:rsid w:val="009D4711"/>
    <w:rsid w:val="009D6AA3"/>
    <w:rsid w:val="009F1185"/>
    <w:rsid w:val="009F18CD"/>
    <w:rsid w:val="009F2716"/>
    <w:rsid w:val="009F2A13"/>
    <w:rsid w:val="009F74E0"/>
    <w:rsid w:val="00A02BF6"/>
    <w:rsid w:val="00A04EB0"/>
    <w:rsid w:val="00A13CC1"/>
    <w:rsid w:val="00A16847"/>
    <w:rsid w:val="00A237D8"/>
    <w:rsid w:val="00A268C4"/>
    <w:rsid w:val="00A307CD"/>
    <w:rsid w:val="00A40A00"/>
    <w:rsid w:val="00A4142F"/>
    <w:rsid w:val="00A41B57"/>
    <w:rsid w:val="00A41D44"/>
    <w:rsid w:val="00A56DF2"/>
    <w:rsid w:val="00A67AB5"/>
    <w:rsid w:val="00A9132D"/>
    <w:rsid w:val="00A91760"/>
    <w:rsid w:val="00A934D0"/>
    <w:rsid w:val="00A93B00"/>
    <w:rsid w:val="00A93C21"/>
    <w:rsid w:val="00AA34D4"/>
    <w:rsid w:val="00AB2DF9"/>
    <w:rsid w:val="00AC14D8"/>
    <w:rsid w:val="00AC3C6A"/>
    <w:rsid w:val="00AC7830"/>
    <w:rsid w:val="00AD1BEC"/>
    <w:rsid w:val="00AD2790"/>
    <w:rsid w:val="00AD43E4"/>
    <w:rsid w:val="00AD5620"/>
    <w:rsid w:val="00AD616B"/>
    <w:rsid w:val="00AD7C1B"/>
    <w:rsid w:val="00AE16BA"/>
    <w:rsid w:val="00AE1EBE"/>
    <w:rsid w:val="00AE3DFB"/>
    <w:rsid w:val="00AE47A8"/>
    <w:rsid w:val="00B03C9D"/>
    <w:rsid w:val="00B048ED"/>
    <w:rsid w:val="00B060AE"/>
    <w:rsid w:val="00B10517"/>
    <w:rsid w:val="00B11938"/>
    <w:rsid w:val="00B14E76"/>
    <w:rsid w:val="00B161B8"/>
    <w:rsid w:val="00B2048C"/>
    <w:rsid w:val="00B310B9"/>
    <w:rsid w:val="00B33470"/>
    <w:rsid w:val="00B34E6E"/>
    <w:rsid w:val="00B35F3F"/>
    <w:rsid w:val="00B36CBB"/>
    <w:rsid w:val="00B425E0"/>
    <w:rsid w:val="00B440AA"/>
    <w:rsid w:val="00B44B70"/>
    <w:rsid w:val="00B53C56"/>
    <w:rsid w:val="00B55AB8"/>
    <w:rsid w:val="00B55C6E"/>
    <w:rsid w:val="00B77EA6"/>
    <w:rsid w:val="00B81598"/>
    <w:rsid w:val="00B841F1"/>
    <w:rsid w:val="00B944D6"/>
    <w:rsid w:val="00BA077F"/>
    <w:rsid w:val="00BA6BD8"/>
    <w:rsid w:val="00BB4DF0"/>
    <w:rsid w:val="00BC289F"/>
    <w:rsid w:val="00BC5361"/>
    <w:rsid w:val="00BC5460"/>
    <w:rsid w:val="00BC6B50"/>
    <w:rsid w:val="00BD0E25"/>
    <w:rsid w:val="00BF3083"/>
    <w:rsid w:val="00BF3934"/>
    <w:rsid w:val="00BF5BD6"/>
    <w:rsid w:val="00BF78AF"/>
    <w:rsid w:val="00C00F3B"/>
    <w:rsid w:val="00C02E61"/>
    <w:rsid w:val="00C03400"/>
    <w:rsid w:val="00C03E31"/>
    <w:rsid w:val="00C27E6B"/>
    <w:rsid w:val="00C33E72"/>
    <w:rsid w:val="00C354B2"/>
    <w:rsid w:val="00C35554"/>
    <w:rsid w:val="00C40664"/>
    <w:rsid w:val="00C42709"/>
    <w:rsid w:val="00C533CC"/>
    <w:rsid w:val="00C5751C"/>
    <w:rsid w:val="00C61BFC"/>
    <w:rsid w:val="00C62B85"/>
    <w:rsid w:val="00C63804"/>
    <w:rsid w:val="00C65438"/>
    <w:rsid w:val="00C7488F"/>
    <w:rsid w:val="00C85F43"/>
    <w:rsid w:val="00C91CBB"/>
    <w:rsid w:val="00C94955"/>
    <w:rsid w:val="00CA3844"/>
    <w:rsid w:val="00CC09B6"/>
    <w:rsid w:val="00CC1A6F"/>
    <w:rsid w:val="00CC1C54"/>
    <w:rsid w:val="00CC666F"/>
    <w:rsid w:val="00CD1E3F"/>
    <w:rsid w:val="00CE44F6"/>
    <w:rsid w:val="00CE49DA"/>
    <w:rsid w:val="00CE7B61"/>
    <w:rsid w:val="00D00095"/>
    <w:rsid w:val="00D15FB8"/>
    <w:rsid w:val="00D20620"/>
    <w:rsid w:val="00D236FF"/>
    <w:rsid w:val="00D26091"/>
    <w:rsid w:val="00D273B1"/>
    <w:rsid w:val="00D34E7C"/>
    <w:rsid w:val="00D35489"/>
    <w:rsid w:val="00D41442"/>
    <w:rsid w:val="00D509DA"/>
    <w:rsid w:val="00D51276"/>
    <w:rsid w:val="00D51790"/>
    <w:rsid w:val="00D6018F"/>
    <w:rsid w:val="00D6785D"/>
    <w:rsid w:val="00D7035F"/>
    <w:rsid w:val="00D727ED"/>
    <w:rsid w:val="00D8392E"/>
    <w:rsid w:val="00DA65AC"/>
    <w:rsid w:val="00DB146C"/>
    <w:rsid w:val="00DB1913"/>
    <w:rsid w:val="00DC33D4"/>
    <w:rsid w:val="00DC410D"/>
    <w:rsid w:val="00DC68CA"/>
    <w:rsid w:val="00DC7CBA"/>
    <w:rsid w:val="00DD73B7"/>
    <w:rsid w:val="00DF28BC"/>
    <w:rsid w:val="00DF34B9"/>
    <w:rsid w:val="00E01053"/>
    <w:rsid w:val="00E06858"/>
    <w:rsid w:val="00E07ACF"/>
    <w:rsid w:val="00E328EE"/>
    <w:rsid w:val="00E331A1"/>
    <w:rsid w:val="00E33202"/>
    <w:rsid w:val="00E336A9"/>
    <w:rsid w:val="00E456F7"/>
    <w:rsid w:val="00E50624"/>
    <w:rsid w:val="00E568DF"/>
    <w:rsid w:val="00E64269"/>
    <w:rsid w:val="00E65AC3"/>
    <w:rsid w:val="00E82267"/>
    <w:rsid w:val="00E964C9"/>
    <w:rsid w:val="00EA010F"/>
    <w:rsid w:val="00EA24D0"/>
    <w:rsid w:val="00EA5E25"/>
    <w:rsid w:val="00EC4195"/>
    <w:rsid w:val="00ED1B63"/>
    <w:rsid w:val="00ED3C1F"/>
    <w:rsid w:val="00ED4085"/>
    <w:rsid w:val="00ED420E"/>
    <w:rsid w:val="00EE289F"/>
    <w:rsid w:val="00EE2F57"/>
    <w:rsid w:val="00EF0444"/>
    <w:rsid w:val="00EF4A5F"/>
    <w:rsid w:val="00EF4C34"/>
    <w:rsid w:val="00EF77C6"/>
    <w:rsid w:val="00F051CC"/>
    <w:rsid w:val="00F05438"/>
    <w:rsid w:val="00F117B4"/>
    <w:rsid w:val="00F135F1"/>
    <w:rsid w:val="00F1361C"/>
    <w:rsid w:val="00F160C7"/>
    <w:rsid w:val="00F16FF1"/>
    <w:rsid w:val="00F325BE"/>
    <w:rsid w:val="00F344C5"/>
    <w:rsid w:val="00F36D8F"/>
    <w:rsid w:val="00F417B1"/>
    <w:rsid w:val="00F567AA"/>
    <w:rsid w:val="00F602DF"/>
    <w:rsid w:val="00F61491"/>
    <w:rsid w:val="00F81FD9"/>
    <w:rsid w:val="00F841AA"/>
    <w:rsid w:val="00FA23E8"/>
    <w:rsid w:val="00FD3CC1"/>
    <w:rsid w:val="00FF1E02"/>
    <w:rsid w:val="00FF30B4"/>
    <w:rsid w:val="068376A3"/>
    <w:rsid w:val="07BD66C1"/>
    <w:rsid w:val="0A845E8D"/>
    <w:rsid w:val="0BAC7235"/>
    <w:rsid w:val="0EAB489D"/>
    <w:rsid w:val="0EBF57A4"/>
    <w:rsid w:val="0F935A08"/>
    <w:rsid w:val="10705362"/>
    <w:rsid w:val="10C055FF"/>
    <w:rsid w:val="124C48CE"/>
    <w:rsid w:val="15017A7B"/>
    <w:rsid w:val="15A97C2C"/>
    <w:rsid w:val="16BB723D"/>
    <w:rsid w:val="17491BBC"/>
    <w:rsid w:val="174B3CF7"/>
    <w:rsid w:val="1798749C"/>
    <w:rsid w:val="1A32654C"/>
    <w:rsid w:val="1AF60FB4"/>
    <w:rsid w:val="1BD510E8"/>
    <w:rsid w:val="1CE119E9"/>
    <w:rsid w:val="1D3E6723"/>
    <w:rsid w:val="20D4454F"/>
    <w:rsid w:val="236A1333"/>
    <w:rsid w:val="23876FDF"/>
    <w:rsid w:val="240371BF"/>
    <w:rsid w:val="247800CB"/>
    <w:rsid w:val="248B6954"/>
    <w:rsid w:val="28C3456E"/>
    <w:rsid w:val="295A2E28"/>
    <w:rsid w:val="29FD04D3"/>
    <w:rsid w:val="2A2A7C76"/>
    <w:rsid w:val="2A425ABC"/>
    <w:rsid w:val="2C5A774B"/>
    <w:rsid w:val="2D3D5187"/>
    <w:rsid w:val="2D725EB1"/>
    <w:rsid w:val="2F087B64"/>
    <w:rsid w:val="2F2805C5"/>
    <w:rsid w:val="2F2E691D"/>
    <w:rsid w:val="2FA64176"/>
    <w:rsid w:val="303B217D"/>
    <w:rsid w:val="312B648B"/>
    <w:rsid w:val="319F7F4E"/>
    <w:rsid w:val="32A53FD3"/>
    <w:rsid w:val="33F96FCA"/>
    <w:rsid w:val="39200F7A"/>
    <w:rsid w:val="3A823BFA"/>
    <w:rsid w:val="3A9307B4"/>
    <w:rsid w:val="3C5F1762"/>
    <w:rsid w:val="3D8723FA"/>
    <w:rsid w:val="40806D49"/>
    <w:rsid w:val="417C7A7C"/>
    <w:rsid w:val="44412D4A"/>
    <w:rsid w:val="459D6097"/>
    <w:rsid w:val="45D53EFE"/>
    <w:rsid w:val="46C60D85"/>
    <w:rsid w:val="46D22C3E"/>
    <w:rsid w:val="480408A8"/>
    <w:rsid w:val="490352E6"/>
    <w:rsid w:val="49701A60"/>
    <w:rsid w:val="49A62AD0"/>
    <w:rsid w:val="4A321177"/>
    <w:rsid w:val="4BB16A5A"/>
    <w:rsid w:val="4CD113E5"/>
    <w:rsid w:val="4CFA5A99"/>
    <w:rsid w:val="509E0911"/>
    <w:rsid w:val="51B34A81"/>
    <w:rsid w:val="525C7108"/>
    <w:rsid w:val="54427159"/>
    <w:rsid w:val="5A1C60CE"/>
    <w:rsid w:val="5A3576B3"/>
    <w:rsid w:val="5D9F52E5"/>
    <w:rsid w:val="607D5636"/>
    <w:rsid w:val="652519B8"/>
    <w:rsid w:val="65590B7C"/>
    <w:rsid w:val="656A3CF6"/>
    <w:rsid w:val="6AD02455"/>
    <w:rsid w:val="6AE72457"/>
    <w:rsid w:val="6B84628E"/>
    <w:rsid w:val="6C0E4313"/>
    <w:rsid w:val="6C9D4266"/>
    <w:rsid w:val="6DD12C3B"/>
    <w:rsid w:val="74926B2E"/>
    <w:rsid w:val="74B17901"/>
    <w:rsid w:val="752F0791"/>
    <w:rsid w:val="76314856"/>
    <w:rsid w:val="780E2570"/>
    <w:rsid w:val="783A29C2"/>
    <w:rsid w:val="78ED5962"/>
    <w:rsid w:val="7A277D50"/>
    <w:rsid w:val="7B647F58"/>
    <w:rsid w:val="7D277BA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0"/>
    <w:pPr>
      <w:spacing w:beforeLines="30"/>
    </w:pPr>
    <w:rPr>
      <w:rFonts w:ascii="FangSong_GB2312" w:eastAsia="FangSong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22"/>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0"/>
    <w:rPr>
      <w:rFonts w:ascii="FangSong_GB2312" w:hAnsi="Times New Roman" w:eastAsia="FangSong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character" w:customStyle="1" w:styleId="29">
    <w:name w:val=" Char Char5"/>
    <w:basedOn w:val="13"/>
    <w:link w:val="3"/>
    <w:qFormat/>
    <w:locked/>
    <w:uiPriority w:val="9"/>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embeddings/oleObject2.bin"/></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oleObject" Target="../embeddings/oleObject3.bin"/></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5.xml"/><Relationship Id="rId1" Type="http://schemas.openxmlformats.org/officeDocument/2006/relationships/oleObject" Target="../embeddings/oleObject5.bin"/></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7.xml"/><Relationship Id="rId1" Type="http://schemas.openxmlformats.org/officeDocument/2006/relationships/oleObject" Target="../embeddings/oleObject7.bin"/></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embeddings/oleObject1.bin"/></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oleObject" Target="../embeddings/oleObject4.bin"/></Relationships>
</file>

<file path=word/charts/_rels/chart7.xml.rels><?xml version="1.0" encoding="UTF-8" standalone="yes"?>
<Relationships xmlns="http://schemas.openxmlformats.org/package/2006/relationships"><Relationship Id="rId2" Type="http://schemas.openxmlformats.org/officeDocument/2006/relationships/themeOverride" Target="../theme/themeOverride6.xml"/><Relationship Id="rId1" Type="http://schemas.openxmlformats.org/officeDocument/2006/relationships/oleObject" Target="../embeddings/oleObject6.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804763623240707"/>
          <c:y val="0.0466244725738397"/>
          <c:w val="0.788283411524119"/>
          <c:h val="0.842827004219409"/>
        </c:manualLayout>
      </c:layout>
      <c:barChart>
        <c:barDir val="col"/>
        <c:grouping val="clustered"/>
        <c:varyColors val="0"/>
        <c:ser>
          <c:idx val="0"/>
          <c:order val="0"/>
          <c:tx>
            <c:strRef>
              <c:f>Sheet1!$B$1</c:f>
              <c:strCache>
                <c:ptCount val="1"/>
                <c:pt idx="0">
                  <c:v>2020</c:v>
                </c:pt>
              </c:strCache>
            </c:strRef>
          </c:tx>
          <c:invertIfNegative val="0"/>
          <c:dLbls>
            <c:delete val="1"/>
          </c:dLbls>
          <c:cat>
            <c:strRef>
              <c:f>Sheet1!$A$2:$A$3</c:f>
              <c:strCache>
                <c:ptCount val="2"/>
                <c:pt idx="0">
                  <c:v>收入</c:v>
                </c:pt>
                <c:pt idx="1">
                  <c:v>支出</c:v>
                </c:pt>
              </c:strCache>
            </c:strRef>
          </c:cat>
          <c:val>
            <c:numRef>
              <c:f>Sheet1!$B$2:$B$3</c:f>
              <c:numCache>
                <c:formatCode>0.00_ </c:formatCode>
                <c:ptCount val="2"/>
                <c:pt idx="0">
                  <c:v>1024.7</c:v>
                </c:pt>
                <c:pt idx="1">
                  <c:v>1024.7</c:v>
                </c:pt>
              </c:numCache>
            </c:numRef>
          </c:val>
        </c:ser>
        <c:ser>
          <c:idx val="1"/>
          <c:order val="1"/>
          <c:tx>
            <c:strRef>
              <c:f>Sheet1!$C$1</c:f>
              <c:strCache>
                <c:ptCount val="1"/>
                <c:pt idx="0">
                  <c:v>2019</c:v>
                </c:pt>
              </c:strCache>
            </c:strRef>
          </c:tx>
          <c:invertIfNegative val="0"/>
          <c:dLbls>
            <c:delete val="1"/>
          </c:dLbls>
          <c:cat>
            <c:strRef>
              <c:f>Sheet1!$A$2:$A$3</c:f>
              <c:strCache>
                <c:ptCount val="2"/>
                <c:pt idx="0">
                  <c:v>收入</c:v>
                </c:pt>
                <c:pt idx="1">
                  <c:v>支出</c:v>
                </c:pt>
              </c:strCache>
            </c:strRef>
          </c:cat>
          <c:val>
            <c:numRef>
              <c:f>Sheet1!$C$2:$C$3</c:f>
              <c:numCache>
                <c:formatCode>General</c:formatCode>
                <c:ptCount val="2"/>
                <c:pt idx="0">
                  <c:v>1703.42</c:v>
                </c:pt>
                <c:pt idx="1">
                  <c:v>1054.64</c:v>
                </c:pt>
              </c:numCache>
            </c:numRef>
          </c:val>
        </c:ser>
        <c:dLbls>
          <c:showLegendKey val="0"/>
          <c:showVal val="0"/>
          <c:showCatName val="0"/>
          <c:showSerName val="0"/>
          <c:showPercent val="0"/>
          <c:showBubbleSize val="0"/>
        </c:dLbls>
        <c:gapWidth val="150"/>
        <c:axId val="169598336"/>
        <c:axId val="173484288"/>
      </c:barChart>
      <c:catAx>
        <c:axId val="16959833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3484288"/>
        <c:crosses val="autoZero"/>
        <c:auto val="1"/>
        <c:lblAlgn val="ctr"/>
        <c:lblOffset val="100"/>
        <c:noMultiLvlLbl val="0"/>
      </c:catAx>
      <c:valAx>
        <c:axId val="173484288"/>
        <c:scaling>
          <c:orientation val="minMax"/>
        </c:scaling>
        <c:delete val="0"/>
        <c:axPos val="l"/>
        <c:majorGridlines/>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959833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8427810292675"/>
          <c:y val="0.0408396798760811"/>
          <c:w val="0.510180684823962"/>
          <c:h val="0.806357299599845"/>
        </c:manualLayout>
      </c:layout>
      <c:pieChart>
        <c:varyColors val="1"/>
        <c:ser>
          <c:idx val="0"/>
          <c:order val="0"/>
          <c:tx>
            <c:strRef>
              <c:f>Sheet1!$B$1</c:f>
              <c:strCache>
                <c:ptCount val="1"/>
                <c:pt idx="0">
                  <c:v>收入决算结构图</c:v>
                </c:pt>
              </c:strCache>
            </c:strRef>
          </c:tx>
          <c:explosion val="0"/>
          <c:dPt>
            <c:idx val="0"/>
            <c:bubble3D val="0"/>
          </c:dPt>
          <c:dPt>
            <c:idx val="1"/>
            <c:bubble3D val="0"/>
          </c:dPt>
          <c:dLbls>
            <c:dLbl>
              <c:idx val="0"/>
              <c:layout>
                <c:manualLayout>
                  <c:x val="-0.00171655585853326"/>
                  <c:y val="-0.187514314556836"/>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一般公共预算财政拨款</a:t>
                    </a:r>
                    <a:r>
                      <a:rPr lang="en-US" altLang="en-US"/>
                      <a:t>99.52%</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162035193071685"/>
                  <c:y val="0.0950641631334553"/>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政府性基金预算财政拨款</a:t>
                    </a:r>
                    <a:r>
                      <a:rPr lang="en-US" altLang="en-US"/>
                      <a:t>048%</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一般公共预算财政拨款</c:v>
                </c:pt>
                <c:pt idx="1">
                  <c:v>政府性基金预算财政拨款</c:v>
                </c:pt>
              </c:strCache>
            </c:strRef>
          </c:cat>
          <c:val>
            <c:numRef>
              <c:f>Sheet1!$B$2:$B$3</c:f>
              <c:numCache>
                <c:formatCode>0.00%</c:formatCode>
                <c:ptCount val="2"/>
                <c:pt idx="0">
                  <c:v>0.9952</c:v>
                </c:pt>
                <c:pt idx="1">
                  <c:v>0.0048</c:v>
                </c:pt>
              </c:numCache>
            </c:numRef>
          </c:val>
        </c:ser>
        <c:dLbls>
          <c:showLegendKey val="0"/>
          <c:showVal val="0"/>
          <c:showCatName val="0"/>
          <c:showSerName val="0"/>
          <c:showPercent val="0"/>
          <c:showBubbleSize val="0"/>
          <c:showLeaderLines val="1"/>
        </c:dLbls>
        <c:firstSliceAng val="0"/>
      </c:pie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sz="1000"/>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4374143980443"/>
          <c:y val="0.00747674833328767"/>
          <c:w val="0.542786299321732"/>
          <c:h val="0.909687142765691"/>
        </c:manualLayout>
      </c:layout>
      <c:pieChart>
        <c:varyColors val="1"/>
        <c:ser>
          <c:idx val="0"/>
          <c:order val="0"/>
          <c:tx>
            <c:strRef>
              <c:f>Sheet1!$B$1</c:f>
              <c:strCache>
                <c:ptCount val="1"/>
                <c:pt idx="0">
                  <c:v>支出决算结构图</c:v>
                </c:pt>
              </c:strCache>
            </c:strRef>
          </c:tx>
          <c:explosion val="0"/>
          <c:dPt>
            <c:idx val="0"/>
            <c:bubble3D val="0"/>
          </c:dPt>
          <c:dPt>
            <c:idx val="1"/>
            <c:bubble3D val="0"/>
          </c:dPt>
          <c:dLbls>
            <c:dLbl>
              <c:idx val="0"/>
              <c:layout>
                <c:manualLayout>
                  <c:x val="-0.00171655585853326"/>
                  <c:y val="-0.18751431455683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基本支出</a:t>
                    </a:r>
                    <a:r>
                      <a:rPr lang="en-US" altLang="en-US"/>
                      <a:t>96.35%</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162035193071685"/>
                  <c:y val="0.095064163133455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项目支出</a:t>
                    </a:r>
                    <a:r>
                      <a:rPr lang="en-US" altLang="zh-CN"/>
                      <a:t>3.65</a:t>
                    </a:r>
                    <a:r>
                      <a:rPr lang="en-US" altLang="en-US"/>
                      <a:t>%</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0.00%</c:formatCode>
                <c:ptCount val="2"/>
                <c:pt idx="0">
                  <c:v>0.9635</c:v>
                </c:pt>
                <c:pt idx="1">
                  <c:v>0.0365</c:v>
                </c:pt>
              </c:numCache>
            </c:numRef>
          </c:val>
        </c:ser>
        <c:dLbls>
          <c:showLegendKey val="0"/>
          <c:showVal val="0"/>
          <c:showCatName val="0"/>
          <c:showSerName val="0"/>
          <c:showPercent val="0"/>
          <c:showBubbleSize val="0"/>
          <c:showLeaderLines val="1"/>
        </c:dLbls>
        <c:firstSliceAng val="0"/>
      </c:pie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sz="1000"/>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2020</c:v>
                </c:pt>
              </c:strCache>
            </c:strRef>
          </c:tx>
          <c:invertIfNegative val="0"/>
          <c:dLbls>
            <c:delete val="1"/>
          </c:dLbls>
          <c:cat>
            <c:strRef>
              <c:f>Sheet1!$A$2:$A$3</c:f>
              <c:strCache>
                <c:ptCount val="2"/>
                <c:pt idx="0">
                  <c:v>收入</c:v>
                </c:pt>
                <c:pt idx="1">
                  <c:v>支出</c:v>
                </c:pt>
              </c:strCache>
            </c:strRef>
          </c:cat>
          <c:val>
            <c:numRef>
              <c:f>Sheet1!$B$2:$B$3</c:f>
              <c:numCache>
                <c:formatCode>General</c:formatCode>
                <c:ptCount val="2"/>
                <c:pt idx="0">
                  <c:v>1024.7</c:v>
                </c:pt>
                <c:pt idx="1">
                  <c:v>1024.7</c:v>
                </c:pt>
              </c:numCache>
            </c:numRef>
          </c:val>
        </c:ser>
        <c:ser>
          <c:idx val="1"/>
          <c:order val="1"/>
          <c:tx>
            <c:strRef>
              <c:f>Sheet1!$C$1</c:f>
              <c:strCache>
                <c:ptCount val="1"/>
                <c:pt idx="0">
                  <c:v>2019</c:v>
                </c:pt>
              </c:strCache>
            </c:strRef>
          </c:tx>
          <c:invertIfNegative val="0"/>
          <c:dLbls>
            <c:delete val="1"/>
          </c:dLbls>
          <c:cat>
            <c:strRef>
              <c:f>Sheet1!$A$2:$A$3</c:f>
              <c:strCache>
                <c:ptCount val="2"/>
                <c:pt idx="0">
                  <c:v>收入</c:v>
                </c:pt>
                <c:pt idx="1">
                  <c:v>支出</c:v>
                </c:pt>
              </c:strCache>
            </c:strRef>
          </c:cat>
          <c:val>
            <c:numRef>
              <c:f>Sheet1!$C$2:$C$3</c:f>
              <c:numCache>
                <c:formatCode>General</c:formatCode>
                <c:ptCount val="2"/>
                <c:pt idx="0">
                  <c:v>1703.42</c:v>
                </c:pt>
                <c:pt idx="1">
                  <c:v>1054.64</c:v>
                </c:pt>
              </c:numCache>
            </c:numRef>
          </c:val>
        </c:ser>
        <c:dLbls>
          <c:showLegendKey val="0"/>
          <c:showVal val="0"/>
          <c:showCatName val="0"/>
          <c:showSerName val="0"/>
          <c:showPercent val="0"/>
          <c:showBubbleSize val="0"/>
        </c:dLbls>
        <c:gapWidth val="150"/>
        <c:axId val="35699328"/>
        <c:axId val="35791232"/>
      </c:barChart>
      <c:catAx>
        <c:axId val="3569932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5791232"/>
        <c:crosses val="autoZero"/>
        <c:auto val="1"/>
        <c:lblAlgn val="ctr"/>
        <c:lblOffset val="100"/>
        <c:noMultiLvlLbl val="0"/>
      </c:catAx>
      <c:valAx>
        <c:axId val="3579123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569932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2020</c:v>
                </c:pt>
              </c:strCache>
            </c:strRef>
          </c:tx>
          <c:invertIfNegative val="0"/>
          <c:dLbls>
            <c:delete val="1"/>
          </c:dLbls>
          <c:cat>
            <c:strRef>
              <c:f>Sheet1!$A$2</c:f>
              <c:strCache>
                <c:ptCount val="1"/>
                <c:pt idx="0">
                  <c:v>支出</c:v>
                </c:pt>
              </c:strCache>
            </c:strRef>
          </c:cat>
          <c:val>
            <c:numRef>
              <c:f>Sheet1!$B$2</c:f>
              <c:numCache>
                <c:formatCode>General</c:formatCode>
                <c:ptCount val="1"/>
                <c:pt idx="0">
                  <c:v>1024.7</c:v>
                </c:pt>
              </c:numCache>
            </c:numRef>
          </c:val>
        </c:ser>
        <c:ser>
          <c:idx val="1"/>
          <c:order val="1"/>
          <c:tx>
            <c:strRef>
              <c:f>Sheet1!$C$1</c:f>
              <c:strCache>
                <c:ptCount val="1"/>
                <c:pt idx="0">
                  <c:v>2019</c:v>
                </c:pt>
              </c:strCache>
            </c:strRef>
          </c:tx>
          <c:invertIfNegative val="0"/>
          <c:dLbls>
            <c:delete val="1"/>
          </c:dLbls>
          <c:cat>
            <c:strRef>
              <c:f>Sheet1!$A$2</c:f>
              <c:strCache>
                <c:ptCount val="1"/>
                <c:pt idx="0">
                  <c:v>支出</c:v>
                </c:pt>
              </c:strCache>
            </c:strRef>
          </c:cat>
          <c:val>
            <c:numRef>
              <c:f>Sheet1!$C$2</c:f>
              <c:numCache>
                <c:formatCode>General</c:formatCode>
                <c:ptCount val="1"/>
                <c:pt idx="0">
                  <c:v>1049.64</c:v>
                </c:pt>
              </c:numCache>
            </c:numRef>
          </c:val>
        </c:ser>
        <c:dLbls>
          <c:showLegendKey val="0"/>
          <c:showVal val="0"/>
          <c:showCatName val="0"/>
          <c:showSerName val="0"/>
          <c:showPercent val="0"/>
          <c:showBubbleSize val="0"/>
        </c:dLbls>
        <c:gapWidth val="150"/>
        <c:axId val="35828096"/>
        <c:axId val="35829632"/>
      </c:barChart>
      <c:catAx>
        <c:axId val="3582809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5829632"/>
        <c:crosses val="autoZero"/>
        <c:auto val="1"/>
        <c:lblAlgn val="ctr"/>
        <c:lblOffset val="100"/>
        <c:noMultiLvlLbl val="0"/>
      </c:catAx>
      <c:valAx>
        <c:axId val="3582963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582809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156114146933819"/>
          <c:y val="0.024024024024024"/>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725782713533193"/>
          <c:y val="0.214430894308943"/>
          <c:w val="0.626116591554156"/>
          <c:h val="0.670325203252035"/>
        </c:manualLayout>
      </c:layout>
      <c:pie3DChart>
        <c:varyColors val="1"/>
        <c:ser>
          <c:idx val="0"/>
          <c:order val="0"/>
          <c:tx>
            <c:strRef>
              <c:f>Sheet1!$B$1</c:f>
              <c:strCache>
                <c:ptCount val="1"/>
                <c:pt idx="0">
                  <c:v>一般公共预算财政拨款支出决算结构情况</c:v>
                </c:pt>
              </c:strCache>
            </c:strRef>
          </c:tx>
          <c:explosion val="0"/>
          <c:dPt>
            <c:idx val="0"/>
            <c:bubble3D val="0"/>
          </c:dPt>
          <c:dPt>
            <c:idx val="1"/>
            <c:bubble3D val="0"/>
          </c:dPt>
          <c:dPt>
            <c:idx val="2"/>
            <c:bubble3D val="0"/>
          </c:dPt>
          <c:dPt>
            <c:idx val="3"/>
            <c:bubble3D val="0"/>
          </c:dPt>
          <c:dLbls>
            <c:dLbl>
              <c:idx val="0"/>
              <c:layout>
                <c:manualLayout>
                  <c:x val="-0.201482279198606"/>
                  <c:y val="-0.33978714550925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教育支出</a:t>
                    </a:r>
                    <a:r>
                      <a:rPr lang="en-US" altLang="en-US"/>
                      <a:t>81.10%</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26208330886713"/>
                  <c:y val="-0.04389219640227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医疗卫生支出</a:t>
                    </a:r>
                    <a:r>
                      <a:rPr lang="en-US" altLang="en-US"/>
                      <a:t>4.07%</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851604067894211"/>
                  <c:y val="0.11423724473465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社会保障和就业支出</a:t>
                    </a:r>
                    <a:r>
                      <a:rPr lang="en-US" altLang="en-US"/>
                      <a:t>8.63%</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33898802702585"/>
                  <c:y val="0.0365853658536586"/>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住房保障支出</a:t>
                    </a:r>
                    <a:r>
                      <a:rPr lang="en-US" altLang="en-US"/>
                      <a:t>6.20%</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教育支出</c:v>
                </c:pt>
                <c:pt idx="1">
                  <c:v>社会保障和就业支出</c:v>
                </c:pt>
                <c:pt idx="2">
                  <c:v>医疗卫生支出</c:v>
                </c:pt>
                <c:pt idx="3">
                  <c:v>住房保障支出</c:v>
                </c:pt>
              </c:strCache>
            </c:strRef>
          </c:cat>
          <c:val>
            <c:numRef>
              <c:f>Sheet1!$B$2:$B$5</c:f>
              <c:numCache>
                <c:formatCode>0.00%</c:formatCode>
                <c:ptCount val="4"/>
                <c:pt idx="0">
                  <c:v>0.811</c:v>
                </c:pt>
                <c:pt idx="1">
                  <c:v>0.0863</c:v>
                </c:pt>
                <c:pt idx="2">
                  <c:v>0.0407</c:v>
                </c:pt>
                <c:pt idx="3">
                  <c:v>0.062</c:v>
                </c:pt>
              </c:numCache>
            </c:numRef>
          </c:val>
        </c:ser>
        <c:dLbls>
          <c:showLegendKey val="0"/>
          <c:showVal val="0"/>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4374143980443"/>
          <c:y val="0.00747674833328768"/>
          <c:w val="0.542786299321732"/>
          <c:h val="0.909687142765691"/>
        </c:manualLayout>
      </c:layout>
      <c:pieChart>
        <c:varyColors val="1"/>
        <c:ser>
          <c:idx val="0"/>
          <c:order val="0"/>
          <c:tx>
            <c:strRef>
              <c:f>Sheet1!$B$1</c:f>
              <c:strCache>
                <c:ptCount val="1"/>
                <c:pt idx="0">
                  <c:v>“三公”经费财政拨款支出结构</c:v>
                </c:pt>
              </c:strCache>
            </c:strRef>
          </c:tx>
          <c:explosion val="0"/>
          <c:dPt>
            <c:idx val="0"/>
            <c:bubble3D val="0"/>
          </c:dPt>
          <c:dPt>
            <c:idx val="1"/>
            <c:bubble3D val="0"/>
          </c:dPt>
          <c:dPt>
            <c:idx val="2"/>
            <c:bubble3D val="0"/>
          </c:dPt>
          <c:dPt>
            <c:idx val="3"/>
            <c:bubble3D val="0"/>
          </c:dPt>
          <c:dLbls>
            <c:dLbl>
              <c:idx val="0"/>
              <c:layout>
                <c:manualLayout>
                  <c:x val="-0.00171655585853326"/>
                  <c:y val="-0.187514314556836"/>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三公经费支出</a:t>
                    </a:r>
                    <a:r>
                      <a:rPr lang="en-US" altLang="en-US"/>
                      <a:t>100%</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162035193071685"/>
                  <c:y val="0.095064163133455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项目支出</a:t>
                    </a:r>
                    <a:r>
                      <a:rPr lang="en-US" altLang="zh-CN"/>
                      <a:t>0.25%</a:t>
                    </a:r>
                    <a:r>
                      <a:rPr lang="en-US" altLang="en-US"/>
                      <a:t>%</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delete val="1"/>
            </c:dLbl>
            <c:dLbl>
              <c:idx val="3"/>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三公经费支出</c:v>
                </c:pt>
                <c:pt idx="2">
                  <c:v>公务用车购置及运行维护费</c:v>
                </c:pt>
                <c:pt idx="3">
                  <c:v>因公出国（境）费0%</c:v>
                </c:pt>
              </c:strCache>
            </c:strRef>
          </c:cat>
          <c:val>
            <c:numRef>
              <c:f>Sheet1!$B$2:$B$5</c:f>
              <c:numCache>
                <c:formatCode>0.00%</c:formatCode>
                <c:ptCount val="4"/>
                <c:pt idx="0">
                  <c:v>1</c:v>
                </c:pt>
                <c:pt idx="2" c:formatCode="0%">
                  <c:v>0</c:v>
                </c:pt>
              </c:numCache>
            </c:numRef>
          </c:val>
        </c:ser>
        <c:dLbls>
          <c:showLegendKey val="0"/>
          <c:showVal val="0"/>
          <c:showCatName val="0"/>
          <c:showSerName val="0"/>
          <c:showPercent val="0"/>
          <c:showBubbleSize val="0"/>
          <c:showLeaderLines val="1"/>
        </c:dLbls>
        <c:firstSliceAng val="0"/>
      </c:pieChart>
    </c:plotArea>
    <c:legend>
      <c:legendPos val="b"/>
      <c:legendEntry>
        <c:idx val="1"/>
        <c:delete val="1"/>
      </c:legendEntry>
      <c:layout>
        <c:manualLayout>
          <c:xMode val="edge"/>
          <c:yMode val="edge"/>
          <c:x val="0.05"/>
          <c:y val="0.842827587728005"/>
          <c:w val="0.9"/>
          <c:h val="0.13476344868656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sz="1000"/>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1280</Words>
  <Characters>7300</Characters>
  <Lines>60</Lines>
  <Paragraphs>17</Paragraphs>
  <TotalTime>26</TotalTime>
  <ScaleCrop>false</ScaleCrop>
  <LinksUpToDate>false</LinksUpToDate>
  <CharactersWithSpaces>8563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1</cp:lastModifiedBy>
  <cp:lastPrinted>2019-09-24T02:35:00Z</cp:lastPrinted>
  <dcterms:modified xsi:type="dcterms:W3CDTF">2021-10-28T06:59:21Z</dcterms:modified>
  <dc:title>四川省***</dc:title>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7B9FF479D2D446EDBB7EF84478521DCC</vt:lpwstr>
  </property>
</Properties>
</file>