
<file path=[Content_Types].xml><?xml version="1.0" encoding="utf-8"?>
<Types xmlns="http://schemas.openxmlformats.org/package/2006/content-types">
  <Default Extension="xml" ContentType="application/xml"/>
  <Default Extension="xls" ContentType="application/vnd.ms-exce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96597"/>
      <w:bookmarkStart w:id="5" w:name="_Toc15377425"/>
      <w:r>
        <w:rPr>
          <w:rFonts w:hint="eastAsia"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78442"/>
      <w:bookmarkStart w:id="7" w:name="_Toc15377194"/>
      <w:bookmarkStart w:id="8" w:name="_Toc15396598"/>
      <w:bookmarkStart w:id="9" w:name="_Toc15377426"/>
      <w:bookmarkStart w:id="10" w:name="_Toc15396476"/>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rPr>
        <w:t>开江县长岭镇中心小学校</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公开时间：2021年10月08日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5</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w:t>
      </w:r>
      <w:r>
        <w:rPr>
          <w:rStyle w:val="15"/>
          <w:rFonts w:hint="eastAsia"/>
        </w:rPr>
        <w:t>2020年度部门决算情况说明</w:t>
      </w:r>
      <w:r>
        <w:tab/>
      </w:r>
      <w:r>
        <w:rPr>
          <w:rFonts w:hint="eastAsia"/>
        </w:rPr>
        <w:t>6</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8</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1</w:t>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2</w:t>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rPr>
        <w:t>1</w:t>
      </w:r>
      <w:r>
        <w:rPr>
          <w:rFonts w:hint="eastAsia"/>
        </w:rPr>
        <w:fldChar w:fldCharType="end"/>
      </w:r>
      <w:r>
        <w:rPr>
          <w:rFonts w:hint="eastAsia"/>
        </w:rPr>
        <w:t>6</w:t>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rPr>
          <w:rFonts w:hint="eastAsia"/>
        </w:rPr>
        <w:t>1</w:t>
      </w:r>
      <w:r>
        <w:rPr>
          <w:rFonts w:hint="eastAsia"/>
        </w:rPr>
        <w:fldChar w:fldCharType="end"/>
      </w:r>
      <w:r>
        <w:rPr>
          <w:rFonts w:hint="eastAsia"/>
        </w:rPr>
        <w:t>9</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9</w:t>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2</w:t>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2</w:t>
      </w:r>
      <w:r>
        <w:rPr>
          <w:rFonts w:hint="eastAsia"/>
        </w:rPr>
        <w:fldChar w:fldCharType="end"/>
      </w:r>
      <w:r>
        <w:rPr>
          <w:rFonts w:hint="eastAsia"/>
        </w:rPr>
        <w:t>3</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p>
    <w:p>
      <w:pPr>
        <w:pStyle w:val="11"/>
        <w:adjustRightInd w:val="0"/>
        <w:snapToGrid w:val="0"/>
        <w:spacing w:line="440" w:lineRule="exact"/>
        <w:jc w:val="left"/>
        <w:rPr>
          <w:rFonts w:ascii="仿宋" w:hAnsi="仿宋" w:eastAsia="仿宋"/>
          <w:bCs/>
          <w:kern w:val="44"/>
          <w:sz w:val="24"/>
        </w:rPr>
      </w:pPr>
      <w:r>
        <w:rPr>
          <w:rFonts w:ascii="仿宋" w:hAnsi="仿宋" w:eastAsia="仿宋"/>
          <w:color w:val="000000"/>
          <w:sz w:val="24"/>
        </w:rPr>
        <w:fldChar w:fldCharType="end"/>
      </w:r>
      <w:bookmarkStart w:id="12" w:name="_Toc15396599"/>
      <w:bookmarkStart w:id="13" w:name="_Toc15377196"/>
      <w:r>
        <w:rPr>
          <w:rFonts w:hint="eastAsia" w:ascii="仿宋" w:hAnsi="仿宋" w:eastAsia="仿宋"/>
          <w:sz w:val="28"/>
          <w:szCs w:val="28"/>
        </w:rPr>
        <w:t>十四、</w:t>
      </w:r>
      <w:r>
        <w:fldChar w:fldCharType="begin"/>
      </w:r>
      <w:r>
        <w:instrText xml:space="preserve"> HYPERLINK \l "_Toc15396631" </w:instrText>
      </w:r>
      <w:r>
        <w:fldChar w:fldCharType="separate"/>
      </w:r>
      <w:r>
        <w:rPr>
          <w:rStyle w:val="15"/>
          <w:rFonts w:hint="eastAsia" w:ascii="仿宋" w:hAnsi="仿宋" w:eastAsia="仿宋"/>
          <w:color w:val="auto"/>
          <w:sz w:val="28"/>
          <w:szCs w:val="28"/>
          <w:u w:val="none"/>
        </w:rPr>
        <w:t>国有资本经营预算财政拨款支出决算表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rPr>
        <w:fldChar w:fldCharType="end"/>
      </w:r>
      <w:r>
        <w:rPr>
          <w:rFonts w:hint="eastAsia" w:ascii="仿宋" w:hAnsi="仿宋" w:eastAsia="仿宋"/>
          <w:sz w:val="28"/>
          <w:szCs w:val="28"/>
        </w:rPr>
        <w:t>3</w:t>
      </w:r>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5"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开江县长岭镇中心小学隶属于开江县教育科技知识产权局，是一所乡镇农村小学。在教科局和上级部门的领导下，依法教育,全面贯彻落实科学发展观，促进本校教育事业的蓬勃发展。以维护教职工利益，保障教职工合法权益，以教职工、学生的人生幸福和生命质量作为重点。</w:t>
      </w:r>
    </w:p>
    <w:p>
      <w:pPr>
        <w:pStyle w:val="5"/>
        <w:adjustRightInd w:val="0"/>
        <w:snapToGrid w:val="0"/>
        <w:spacing w:before="93" w:line="600" w:lineRule="exact"/>
        <w:ind w:firstLine="675" w:firstLineChars="210"/>
        <w:outlineLvl w:val="2"/>
        <w:rPr>
          <w:rFonts w:ascii="仿宋" w:hAnsi="仿宋" w:eastAsia="仿宋"/>
          <w:bCs/>
          <w:color w:val="000000"/>
          <w:sz w:val="32"/>
          <w:szCs w:val="32"/>
        </w:rPr>
      </w:pPr>
      <w:r>
        <w:rPr>
          <w:rFonts w:hint="eastAsia" w:ascii="仿宋" w:hAnsi="仿宋" w:eastAsia="仿宋"/>
          <w:b/>
          <w:color w:val="000000"/>
          <w:sz w:val="32"/>
          <w:szCs w:val="32"/>
        </w:rPr>
        <w:t>（二）2020年重点工作完成情况。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本年度学校全面贯彻党的教育方针政策，加强教师队伍建设，强化党的建设，促进义务教育均衡发展建设，注重学生素质能力的培养，大力提升教学教学质量，办人民满意教育。</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widowControl/>
        <w:ind w:firstLine="640" w:firstLineChars="200"/>
        <w:jc w:val="left"/>
        <w:rPr>
          <w:rFonts w:ascii="仿宋" w:hAnsi="仿宋" w:eastAsia="仿宋"/>
          <w:sz w:val="32"/>
          <w:szCs w:val="32"/>
        </w:rPr>
      </w:pPr>
      <w:r>
        <w:rPr>
          <w:rFonts w:hint="eastAsia" w:ascii="仿宋" w:hAnsi="仿宋" w:eastAsia="仿宋"/>
          <w:sz w:val="32"/>
          <w:szCs w:val="32"/>
        </w:rPr>
        <w:t>开江县长岭镇中心小学校具有独立编制和独立核算的机构1个。我校是一所镇级农村小学，下辖一所中心幼儿园及四所村小。内设机构9个，包括：办公室、教务处、教科室、政教处、后勤财务室、党建办公室、工会办公室、体卫艺处、团队办公室。小学教学班37个，学生数1506人，在职在编教职工人105人，退休教职工86人。</w:t>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2020年度部门决算情况说明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2020年决算收入总数1408.26万元，其中：当年财政拨款收入1408.26万元。</w:t>
      </w:r>
      <w:bookmarkStart w:id="26" w:name="_Hlk20159952"/>
      <w:r>
        <w:rPr>
          <w:rFonts w:hint="eastAsia" w:ascii="仿宋" w:hAnsi="仿宋" w:eastAsia="仿宋"/>
          <w:color w:val="000000"/>
          <w:sz w:val="32"/>
          <w:szCs w:val="32"/>
        </w:rPr>
        <w:t>2019年度收入合计1305.92万元</w:t>
      </w:r>
      <w:bookmarkEnd w:id="26"/>
      <w:r>
        <w:rPr>
          <w:rFonts w:hint="eastAsia" w:ascii="仿宋" w:hAnsi="仿宋" w:eastAsia="仿宋"/>
          <w:color w:val="000000"/>
          <w:sz w:val="32"/>
          <w:szCs w:val="32"/>
        </w:rPr>
        <w:t>。与2019年相比，收入增加了102.34，主要变动原因是2020年下达工程款较多。</w:t>
      </w:r>
    </w:p>
    <w:p>
      <w:pPr>
        <w:spacing w:line="600" w:lineRule="exact"/>
        <w:ind w:firstLine="640" w:firstLineChars="200"/>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420" w:firstLineChars="200"/>
      </w:pPr>
      <w:r>
        <w:drawing>
          <wp:anchor distT="0" distB="0" distL="114300" distR="114300" simplePos="0" relativeHeight="251659264" behindDoc="0" locked="0" layoutInCell="1" allowOverlap="1">
            <wp:simplePos x="0" y="0"/>
            <wp:positionH relativeFrom="column">
              <wp:posOffset>361950</wp:posOffset>
            </wp:positionH>
            <wp:positionV relativeFrom="paragraph">
              <wp:posOffset>149225</wp:posOffset>
            </wp:positionV>
            <wp:extent cx="4095750" cy="2562225"/>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640" w:firstLineChars="200"/>
        <w:rPr>
          <w:rFonts w:hint="eastAsia" w:ascii="仿宋" w:hAnsi="仿宋" w:eastAsia="仿宋"/>
          <w:color w:val="000000" w:themeColor="text1"/>
          <w:sz w:val="32"/>
          <w:szCs w:val="32"/>
        </w:rPr>
      </w:pPr>
    </w:p>
    <w:p>
      <w:pPr>
        <w:pStyle w:val="23"/>
        <w:spacing w:line="600" w:lineRule="exact"/>
        <w:ind w:left="1360" w:firstLine="0" w:firstLineChars="0"/>
        <w:outlineLvl w:val="1"/>
        <w:rPr>
          <w:rFonts w:ascii="黑体" w:hAnsi="黑体" w:eastAsia="黑体"/>
          <w:color w:val="000000"/>
          <w:sz w:val="32"/>
          <w:szCs w:val="32"/>
        </w:rPr>
      </w:pPr>
      <w:bookmarkStart w:id="27" w:name="_Toc15396604"/>
      <w:bookmarkStart w:id="28" w:name="_Toc15377206"/>
    </w:p>
    <w:p>
      <w:pPr>
        <w:pStyle w:val="23"/>
        <w:numPr>
          <w:ilvl w:val="0"/>
          <w:numId w:val="1"/>
        </w:numPr>
        <w:spacing w:line="600" w:lineRule="exact"/>
        <w:ind w:firstLineChars="0"/>
        <w:outlineLvl w:val="1"/>
        <w:rPr>
          <w:rStyle w:val="25"/>
          <w:rFonts w:ascii="黑体" w:hAnsi="黑体" w:eastAsia="黑体"/>
          <w:b w:val="0"/>
        </w:rPr>
      </w:pPr>
      <w:r>
        <w:rPr>
          <w:rFonts w:hint="eastAsia" w:ascii="黑体" w:hAnsi="黑体" w:eastAsia="黑体"/>
          <w:color w:val="000000"/>
          <w:sz w:val="32"/>
          <w:szCs w:val="32"/>
        </w:rPr>
        <w:t>收</w:t>
      </w:r>
      <w:r>
        <w:rPr>
          <w:rStyle w:val="25"/>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2020年本年收入合计</w:t>
      </w:r>
      <w:r>
        <w:rPr>
          <w:rFonts w:ascii="仿宋" w:hAnsi="仿宋" w:eastAsia="仿宋"/>
          <w:color w:val="000000"/>
          <w:sz w:val="32"/>
          <w:szCs w:val="32"/>
        </w:rPr>
        <w:t>1813.56</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1408.26</w:t>
      </w:r>
      <w:r>
        <w:rPr>
          <w:rFonts w:hint="eastAsia" w:ascii="仿宋" w:hAnsi="仿宋" w:eastAsia="仿宋"/>
          <w:color w:val="000000"/>
          <w:sz w:val="32"/>
          <w:szCs w:val="32"/>
        </w:rPr>
        <w:t>万元，占</w:t>
      </w:r>
      <w:r>
        <w:rPr>
          <w:rFonts w:ascii="仿宋" w:hAnsi="仿宋" w:eastAsia="仿宋"/>
          <w:color w:val="000000"/>
          <w:sz w:val="32"/>
          <w:szCs w:val="32"/>
        </w:rPr>
        <w:t>77.65%</w:t>
      </w:r>
      <w:r>
        <w:rPr>
          <w:rFonts w:hint="eastAsia" w:ascii="仿宋" w:hAnsi="仿宋" w:eastAsia="仿宋"/>
          <w:color w:val="000000"/>
          <w:sz w:val="32"/>
          <w:szCs w:val="32"/>
        </w:rPr>
        <w:t>；</w:t>
      </w:r>
      <w:r>
        <w:rPr>
          <w:rFonts w:hint="eastAsia" w:ascii="仿宋" w:hAnsi="仿宋" w:eastAsia="仿宋"/>
          <w:color w:val="000000" w:themeColor="text1"/>
          <w:sz w:val="32"/>
          <w:szCs w:val="32"/>
        </w:rPr>
        <w:t>上年结转</w:t>
      </w:r>
      <w:r>
        <w:rPr>
          <w:rFonts w:ascii="仿宋" w:hAnsi="仿宋" w:eastAsia="仿宋"/>
          <w:color w:val="000000" w:themeColor="text1"/>
          <w:sz w:val="32"/>
          <w:szCs w:val="32"/>
        </w:rPr>
        <w:t>405.3</w:t>
      </w:r>
      <w:r>
        <w:rPr>
          <w:rFonts w:hint="eastAsia" w:ascii="仿宋" w:hAnsi="仿宋" w:eastAsia="仿宋"/>
          <w:color w:val="000000" w:themeColor="text1"/>
          <w:sz w:val="32"/>
          <w:szCs w:val="32"/>
        </w:rPr>
        <w:t>万元，为工程款。</w:t>
      </w:r>
      <w:r>
        <w:rPr>
          <w:rFonts w:ascii="仿宋" w:hAnsi="仿宋" w:eastAsia="仿宋"/>
          <w:color w:val="000000"/>
          <w:sz w:val="32"/>
          <w:szCs w:val="32"/>
        </w:rPr>
        <w:t xml:space="preserve"> </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2336" behindDoc="1" locked="0" layoutInCell="1" allowOverlap="1">
            <wp:simplePos x="0" y="0"/>
            <wp:positionH relativeFrom="column">
              <wp:posOffset>0</wp:posOffset>
            </wp:positionH>
            <wp:positionV relativeFrom="paragraph">
              <wp:posOffset>381000</wp:posOffset>
            </wp:positionV>
            <wp:extent cx="4029075" cy="2533650"/>
            <wp:effectExtent l="0" t="0" r="0" b="0"/>
            <wp:wrapTight wrapText="bothSides">
              <wp:wrapPolygon>
                <wp:start x="0" y="0"/>
                <wp:lineTo x="0" y="21438"/>
                <wp:lineTo x="21549" y="21438"/>
                <wp:lineTo x="21549" y="0"/>
                <wp:lineTo x="0" y="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hint="eastAsia" w:ascii="仿宋_GB2312" w:eastAsia="仿宋_GB2312"/>
          <w:color w:val="FF0000"/>
          <w:sz w:val="32"/>
          <w:szCs w:val="32"/>
        </w:rPr>
      </w:pPr>
    </w:p>
    <w:p>
      <w:pPr>
        <w:spacing w:line="600" w:lineRule="exact"/>
        <w:rPr>
          <w:rFonts w:hint="eastAsia"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9" w:name="_Toc15396605"/>
      <w:bookmarkStart w:id="30"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9"/>
      <w:bookmarkEnd w:id="30"/>
    </w:p>
    <w:p>
      <w:pPr>
        <w:spacing w:line="600" w:lineRule="exact"/>
        <w:ind w:firstLine="640" w:firstLineChars="200"/>
        <w:outlineLvl w:val="1"/>
        <w:rPr>
          <w:rFonts w:ascii="仿宋" w:hAnsi="仿宋" w:eastAsia="仿宋"/>
          <w:color w:val="000000"/>
          <w:sz w:val="32"/>
          <w:szCs w:val="32"/>
        </w:rPr>
      </w:pPr>
      <w:bookmarkStart w:id="31" w:name="_Hlk86241236"/>
      <w:bookmarkStart w:id="32" w:name="_Hlk86241281"/>
      <w:r>
        <w:rPr>
          <w:rFonts w:hint="eastAsia" w:ascii="仿宋" w:hAnsi="仿宋" w:eastAsia="仿宋"/>
          <w:color w:val="000000"/>
          <w:sz w:val="32"/>
          <w:szCs w:val="32"/>
        </w:rPr>
        <w:t>2020年本年支出合计</w:t>
      </w:r>
      <w:r>
        <w:rPr>
          <w:rFonts w:ascii="仿宋" w:hAnsi="仿宋" w:eastAsia="仿宋"/>
          <w:color w:val="000000"/>
          <w:sz w:val="32"/>
          <w:szCs w:val="32"/>
        </w:rPr>
        <w:t>1503.33</w:t>
      </w:r>
      <w:r>
        <w:rPr>
          <w:rFonts w:hint="eastAsia" w:ascii="仿宋" w:hAnsi="仿宋" w:eastAsia="仿宋"/>
          <w:color w:val="000000"/>
          <w:sz w:val="32"/>
          <w:szCs w:val="32"/>
        </w:rPr>
        <w:t>万元，</w:t>
      </w:r>
      <w:bookmarkEnd w:id="31"/>
      <w:r>
        <w:rPr>
          <w:rFonts w:hint="eastAsia" w:ascii="仿宋" w:hAnsi="仿宋" w:eastAsia="仿宋"/>
          <w:color w:val="000000"/>
          <w:sz w:val="32"/>
          <w:szCs w:val="32"/>
        </w:rPr>
        <w:t>其中：基本支出</w:t>
      </w:r>
      <w:r>
        <w:rPr>
          <w:rFonts w:ascii="仿宋" w:hAnsi="仿宋" w:eastAsia="仿宋"/>
          <w:color w:val="000000"/>
          <w:sz w:val="32"/>
          <w:szCs w:val="32"/>
        </w:rPr>
        <w:t>1408.26</w:t>
      </w:r>
      <w:r>
        <w:rPr>
          <w:rFonts w:hint="eastAsia" w:ascii="仿宋" w:hAnsi="仿宋" w:eastAsia="仿宋"/>
          <w:color w:val="000000"/>
          <w:sz w:val="32"/>
          <w:szCs w:val="32"/>
        </w:rPr>
        <w:t>万元，占</w:t>
      </w:r>
      <w:r>
        <w:rPr>
          <w:rFonts w:ascii="仿宋" w:hAnsi="仿宋" w:eastAsia="仿宋"/>
          <w:color w:val="000000"/>
          <w:sz w:val="32"/>
          <w:szCs w:val="32"/>
        </w:rPr>
        <w:t>93.67%</w:t>
      </w:r>
      <w:r>
        <w:rPr>
          <w:rFonts w:hint="eastAsia" w:ascii="仿宋" w:hAnsi="仿宋" w:eastAsia="仿宋"/>
          <w:color w:val="000000"/>
          <w:sz w:val="32"/>
          <w:szCs w:val="32"/>
        </w:rPr>
        <w:t>；项目支出</w:t>
      </w:r>
      <w:r>
        <w:rPr>
          <w:rFonts w:ascii="仿宋" w:hAnsi="仿宋" w:eastAsia="仿宋"/>
          <w:color w:val="000000"/>
          <w:sz w:val="32"/>
          <w:szCs w:val="32"/>
        </w:rPr>
        <w:t>95.07</w:t>
      </w:r>
      <w:r>
        <w:rPr>
          <w:rFonts w:hint="eastAsia" w:ascii="仿宋" w:hAnsi="仿宋" w:eastAsia="仿宋"/>
          <w:color w:val="000000"/>
          <w:sz w:val="32"/>
          <w:szCs w:val="32"/>
        </w:rPr>
        <w:t>万元，占</w:t>
      </w:r>
      <w:r>
        <w:rPr>
          <w:rFonts w:ascii="仿宋" w:hAnsi="仿宋" w:eastAsia="仿宋"/>
          <w:color w:val="000000"/>
          <w:sz w:val="32"/>
          <w:szCs w:val="32"/>
        </w:rPr>
        <w:t>6.33%</w:t>
      </w:r>
      <w:r>
        <w:rPr>
          <w:rFonts w:hint="eastAsia" w:ascii="仿宋" w:hAnsi="仿宋" w:eastAsia="仿宋"/>
          <w:color w:val="000000"/>
          <w:sz w:val="32"/>
          <w:szCs w:val="32"/>
        </w:rPr>
        <w:t>；</w:t>
      </w:r>
      <w:bookmarkEnd w:id="32"/>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5080</wp:posOffset>
            </wp:positionV>
            <wp:extent cx="4572000" cy="2743200"/>
            <wp:effectExtent l="0" t="0" r="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rPr>
          <w:rFonts w:hint="eastAsia" w:ascii="仿宋_GB2312" w:eastAsia="仿宋_GB2312"/>
          <w:color w:val="FF0000"/>
          <w:sz w:val="32"/>
          <w:szCs w:val="32"/>
        </w:rPr>
      </w:pPr>
    </w:p>
    <w:p>
      <w:pPr>
        <w:spacing w:line="600" w:lineRule="exact"/>
        <w:outlineLvl w:val="1"/>
        <w:rPr>
          <w:rStyle w:val="25"/>
          <w:rFonts w:ascii="黑体" w:hAnsi="黑体" w:eastAsia="黑体"/>
          <w:b w:val="0"/>
        </w:rPr>
      </w:pPr>
      <w:bookmarkStart w:id="33" w:name="_Toc15377208"/>
      <w:bookmarkStart w:id="34" w:name="_Toc15396606"/>
    </w:p>
    <w:p>
      <w:pPr>
        <w:spacing w:line="600" w:lineRule="exact"/>
        <w:outlineLvl w:val="1"/>
        <w:rPr>
          <w:rStyle w:val="25"/>
          <w:rFonts w:ascii="黑体" w:hAnsi="黑体" w:eastAsia="黑体"/>
          <w:b w:val="0"/>
        </w:rPr>
      </w:pPr>
    </w:p>
    <w:p>
      <w:pPr>
        <w:spacing w:line="600" w:lineRule="exact"/>
        <w:outlineLvl w:val="1"/>
        <w:rPr>
          <w:rStyle w:val="25"/>
          <w:rFonts w:ascii="黑体" w:hAnsi="黑体" w:eastAsia="黑体"/>
          <w:b w:val="0"/>
        </w:rPr>
      </w:pPr>
      <w:r>
        <w:rPr>
          <w:rStyle w:val="25"/>
          <w:rFonts w:hint="eastAsia" w:ascii="黑体" w:hAnsi="黑体" w:eastAsia="黑体"/>
          <w:b w:val="0"/>
        </w:rPr>
        <w:t>四、财政拨款收入支出决算总体情况说明</w:t>
      </w:r>
      <w:bookmarkEnd w:id="33"/>
      <w:bookmarkEnd w:id="3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2020年决算收入总数1408.26万元，其中：当年财政拨款收入1408.26万元。2019年度收入合计1305.92万元。与2019年相比，收入增加了102.34，主要变动原因是2020年下达工程款较多。</w:t>
      </w:r>
    </w:p>
    <w:p>
      <w:pPr>
        <w:ind w:firstLine="640" w:firstLineChars="200"/>
        <w:rPr>
          <w:rFonts w:hint="eastAsia"/>
          <w:szCs w:val="21"/>
        </w:rPr>
      </w:pPr>
      <w:r>
        <w:rPr>
          <w:rFonts w:hint="eastAsia" w:ascii="仿宋" w:hAnsi="仿宋" w:eastAsia="仿宋"/>
          <w:color w:val="000000"/>
          <w:sz w:val="32"/>
          <w:szCs w:val="32"/>
        </w:rPr>
        <w:t>2020年本年支出合计</w:t>
      </w:r>
      <w:r>
        <w:rPr>
          <w:rFonts w:ascii="仿宋" w:hAnsi="仿宋" w:eastAsia="仿宋"/>
          <w:color w:val="000000"/>
          <w:sz w:val="32"/>
          <w:szCs w:val="32"/>
        </w:rPr>
        <w:t>1503.33</w:t>
      </w:r>
      <w:r>
        <w:rPr>
          <w:rFonts w:hint="eastAsia" w:ascii="仿宋" w:hAnsi="仿宋" w:eastAsia="仿宋"/>
          <w:color w:val="000000"/>
          <w:sz w:val="32"/>
          <w:szCs w:val="32"/>
        </w:rPr>
        <w:t>万元，其中：基本支出</w:t>
      </w:r>
      <w:bookmarkStart w:id="35" w:name="_Hlk86242751"/>
      <w:r>
        <w:rPr>
          <w:rFonts w:ascii="仿宋" w:hAnsi="仿宋" w:eastAsia="仿宋"/>
          <w:color w:val="000000"/>
          <w:sz w:val="32"/>
          <w:szCs w:val="32"/>
        </w:rPr>
        <w:t>1408.26</w:t>
      </w:r>
      <w:bookmarkEnd w:id="35"/>
      <w:r>
        <w:rPr>
          <w:rFonts w:hint="eastAsia" w:ascii="仿宋" w:hAnsi="仿宋" w:eastAsia="仿宋"/>
          <w:color w:val="000000"/>
          <w:sz w:val="32"/>
          <w:szCs w:val="32"/>
        </w:rPr>
        <w:t>万元，项目支出</w:t>
      </w:r>
      <w:r>
        <w:rPr>
          <w:rFonts w:ascii="仿宋" w:hAnsi="仿宋" w:eastAsia="仿宋"/>
          <w:color w:val="000000"/>
          <w:sz w:val="32"/>
          <w:szCs w:val="32"/>
        </w:rPr>
        <w:t>95.07</w:t>
      </w:r>
      <w:r>
        <w:rPr>
          <w:rFonts w:hint="eastAsia" w:ascii="仿宋" w:hAnsi="仿宋" w:eastAsia="仿宋"/>
          <w:color w:val="000000"/>
          <w:sz w:val="32"/>
          <w:szCs w:val="32"/>
        </w:rPr>
        <w:t>万元。2019年度本年支出1518.10万元，与2</w:t>
      </w:r>
      <w:r>
        <w:rPr>
          <w:rFonts w:ascii="仿宋" w:hAnsi="仿宋" w:eastAsia="仿宋"/>
          <w:color w:val="000000"/>
          <w:sz w:val="32"/>
          <w:szCs w:val="32"/>
        </w:rPr>
        <w:t>020</w:t>
      </w:r>
      <w:r>
        <w:rPr>
          <w:rFonts w:hint="eastAsia" w:ascii="仿宋" w:hAnsi="仿宋" w:eastAsia="仿宋"/>
          <w:color w:val="000000"/>
          <w:sz w:val="32"/>
          <w:szCs w:val="32"/>
        </w:rPr>
        <w:t>年相比，减少了1</w:t>
      </w:r>
      <w:r>
        <w:rPr>
          <w:rFonts w:ascii="仿宋" w:hAnsi="仿宋" w:eastAsia="仿宋"/>
          <w:color w:val="000000"/>
          <w:sz w:val="32"/>
          <w:szCs w:val="32"/>
        </w:rPr>
        <w:t>4.77</w:t>
      </w:r>
      <w:r>
        <w:rPr>
          <w:rFonts w:hint="eastAsia" w:ascii="仿宋" w:hAnsi="仿宋" w:eastAsia="仿宋"/>
          <w:color w:val="000000"/>
          <w:sz w:val="32"/>
          <w:szCs w:val="32"/>
        </w:rPr>
        <w:t>万元，主要变动原因为工程款未付。</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（图4：财政拨款收入、支出决算总计变动情况）（柱状图）</w:t>
      </w:r>
    </w:p>
    <w:p>
      <w:pPr>
        <w:spacing w:line="600" w:lineRule="exact"/>
        <w:ind w:firstLine="640"/>
        <w:rPr>
          <w:rFonts w:ascii="仿宋" w:hAnsi="仿宋" w:eastAsia="仿宋"/>
          <w:b/>
          <w:color w:val="00B050"/>
          <w:sz w:val="32"/>
          <w:szCs w:val="32"/>
        </w:rPr>
      </w:pPr>
      <w:r>
        <w:drawing>
          <wp:anchor distT="0" distB="0" distL="114300" distR="114300" simplePos="0" relativeHeight="251663360" behindDoc="0" locked="0" layoutInCell="1" allowOverlap="1">
            <wp:simplePos x="0" y="0"/>
            <wp:positionH relativeFrom="column">
              <wp:posOffset>409575</wp:posOffset>
            </wp:positionH>
            <wp:positionV relativeFrom="paragraph">
              <wp:posOffset>215265</wp:posOffset>
            </wp:positionV>
            <wp:extent cx="4572000" cy="2743200"/>
            <wp:effectExtent l="0" t="0" r="0"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6" w:name="_Toc15396607"/>
      <w:bookmarkStart w:id="3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2020年本年一般公共预算拨款支出合计</w:t>
      </w:r>
      <w:bookmarkStart w:id="39" w:name="_Hlk86243196"/>
      <w:r>
        <w:rPr>
          <w:rFonts w:ascii="仿宋" w:hAnsi="仿宋" w:eastAsia="仿宋"/>
          <w:color w:val="000000"/>
          <w:sz w:val="32"/>
          <w:szCs w:val="32"/>
        </w:rPr>
        <w:t>1503.33</w:t>
      </w:r>
      <w:bookmarkEnd w:id="39"/>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9年相比，一般公共预算财政拨款减少</w:t>
      </w:r>
      <w:r>
        <w:rPr>
          <w:rFonts w:ascii="仿宋" w:hAnsi="仿宋" w:eastAsia="仿宋"/>
          <w:color w:val="000000"/>
          <w:sz w:val="32"/>
          <w:szCs w:val="32"/>
        </w:rPr>
        <w:t>14.77</w:t>
      </w:r>
      <w:r>
        <w:rPr>
          <w:rFonts w:hint="eastAsia" w:ascii="仿宋" w:hAnsi="仿宋" w:eastAsia="仿宋"/>
          <w:color w:val="000000"/>
          <w:sz w:val="32"/>
          <w:szCs w:val="32"/>
        </w:rPr>
        <w:t>万元，主要变动原因是2020年支付工程款比2019年少。</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ind w:firstLine="420" w:firstLineChars="200"/>
        <w:rPr>
          <w:rFonts w:hint="eastAsia" w:ascii="仿宋" w:hAnsi="仿宋" w:eastAsia="仿宋"/>
          <w:color w:val="000000" w:themeColor="text1"/>
          <w:sz w:val="32"/>
          <w:szCs w:val="32"/>
        </w:rPr>
      </w:pPr>
      <w:r>
        <w:drawing>
          <wp:anchor distT="0" distB="0" distL="114300" distR="114300" simplePos="0" relativeHeight="251664384" behindDoc="1" locked="0" layoutInCell="1" allowOverlap="1">
            <wp:simplePos x="0" y="0"/>
            <wp:positionH relativeFrom="column">
              <wp:posOffset>266700</wp:posOffset>
            </wp:positionH>
            <wp:positionV relativeFrom="paragraph">
              <wp:posOffset>-2438400</wp:posOffset>
            </wp:positionV>
            <wp:extent cx="4572000" cy="2743200"/>
            <wp:effectExtent l="0" t="0" r="0" b="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outlineLvl w:val="2"/>
        <w:rPr>
          <w:rFonts w:ascii="仿宋" w:hAnsi="仿宋" w:eastAsia="仿宋"/>
          <w:b/>
          <w:color w:val="000000"/>
          <w:sz w:val="32"/>
          <w:szCs w:val="32"/>
        </w:rPr>
      </w:pPr>
      <w:bookmarkStart w:id="40" w:name="_Toc15377211"/>
      <w:r>
        <w:rPr>
          <w:rFonts w:hint="eastAsia" w:ascii="仿宋" w:hAnsi="仿宋" w:eastAsia="仿宋"/>
          <w:b/>
          <w:color w:val="000000"/>
          <w:sz w:val="32"/>
          <w:szCs w:val="32"/>
        </w:rPr>
        <w:t>（二）一般公共预算财政拨款支出决算结构情况</w:t>
      </w:r>
      <w:bookmarkEnd w:id="40"/>
    </w:p>
    <w:p>
      <w:pPr>
        <w:spacing w:line="600" w:lineRule="exact"/>
        <w:ind w:firstLine="640"/>
        <w:rPr>
          <w:rFonts w:ascii="仿宋" w:hAnsi="仿宋" w:eastAsia="仿宋"/>
          <w:b/>
          <w:color w:val="000000" w:themeColor="text1"/>
          <w:sz w:val="32"/>
          <w:szCs w:val="32"/>
        </w:rPr>
      </w:pPr>
      <w:r>
        <w:rPr>
          <w:rFonts w:hint="eastAsia" w:ascii="仿宋" w:hAnsi="仿宋" w:eastAsia="仿宋"/>
          <w:color w:val="000000"/>
          <w:sz w:val="32"/>
          <w:szCs w:val="32"/>
        </w:rPr>
        <w:t>2020年一般公共预算财</w:t>
      </w:r>
      <w:r>
        <w:rPr>
          <w:rFonts w:hint="eastAsia" w:ascii="仿宋" w:hAnsi="仿宋" w:eastAsia="仿宋"/>
          <w:color w:val="000000" w:themeColor="text1"/>
          <w:sz w:val="32"/>
          <w:szCs w:val="32"/>
        </w:rPr>
        <w:t>政拨款支出</w:t>
      </w:r>
      <w:r>
        <w:rPr>
          <w:rFonts w:ascii="仿宋" w:hAnsi="仿宋" w:eastAsia="仿宋"/>
          <w:color w:val="000000"/>
          <w:sz w:val="32"/>
          <w:szCs w:val="32"/>
        </w:rPr>
        <w:t>1503.33</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ascii="仿宋" w:hAnsi="仿宋" w:eastAsia="仿宋"/>
          <w:color w:val="000000" w:themeColor="text1"/>
          <w:sz w:val="32"/>
          <w:szCs w:val="32"/>
        </w:rPr>
        <w:t>1252.94</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83.34%</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支出0万元，占0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文化旅游体育与传媒（类）支出0万元，占0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ascii="仿宋" w:hAnsi="仿宋" w:eastAsia="仿宋"/>
          <w:color w:val="000000" w:themeColor="text1"/>
          <w:sz w:val="32"/>
          <w:szCs w:val="32"/>
        </w:rPr>
        <w:t>116.88</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7.77%</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ascii="仿宋" w:hAnsi="仿宋" w:eastAsia="仿宋"/>
          <w:color w:val="000000" w:themeColor="text1"/>
          <w:sz w:val="32"/>
          <w:szCs w:val="32"/>
        </w:rPr>
        <w:t>51.28</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3.41%</w:t>
      </w:r>
      <w:r>
        <w:rPr>
          <w:rFonts w:hint="eastAsia" w:ascii="仿宋" w:hAnsi="仿宋" w:eastAsia="仿宋"/>
          <w:color w:val="000000" w:themeColor="text1"/>
          <w:sz w:val="32"/>
          <w:szCs w:val="32"/>
        </w:rPr>
        <w:t>；住房保障支出</w:t>
      </w:r>
      <w:r>
        <w:rPr>
          <w:rFonts w:ascii="仿宋" w:hAnsi="仿宋" w:eastAsia="仿宋"/>
          <w:color w:val="000000" w:themeColor="text1"/>
          <w:sz w:val="32"/>
          <w:szCs w:val="32"/>
        </w:rPr>
        <w:t>82.22</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5.48%</w:t>
      </w:r>
      <w:r>
        <w:rPr>
          <w:rFonts w:hint="eastAsia" w:ascii="仿宋" w:hAnsi="仿宋" w:eastAsia="仿宋"/>
          <w:color w:val="000000" w:themeColor="text1"/>
          <w:sz w:val="32"/>
          <w:szCs w:val="32"/>
        </w:rPr>
        <w:t>；。</w:t>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5408" behindDoc="1" locked="0" layoutInCell="1" allowOverlap="1">
            <wp:simplePos x="0" y="0"/>
            <wp:positionH relativeFrom="column">
              <wp:posOffset>266700</wp:posOffset>
            </wp:positionH>
            <wp:positionV relativeFrom="paragraph">
              <wp:posOffset>-2438400</wp:posOffset>
            </wp:positionV>
            <wp:extent cx="4572000" cy="2743200"/>
            <wp:effectExtent l="0" t="0" r="0" b="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41" w:name="_Toc15377212"/>
      <w:r>
        <w:rPr>
          <w:rFonts w:hint="eastAsia" w:ascii="仿宋" w:hAnsi="仿宋" w:eastAsia="仿宋"/>
          <w:b/>
          <w:color w:val="000000"/>
          <w:sz w:val="32"/>
          <w:szCs w:val="32"/>
        </w:rPr>
        <w:t>（三）一般公共预算财政拨款支出决算具体情况</w:t>
      </w:r>
      <w:bookmarkEnd w:id="41"/>
    </w:p>
    <w:p>
      <w:pPr>
        <w:spacing w:line="600" w:lineRule="exact"/>
        <w:ind w:firstLine="643" w:firstLineChars="200"/>
        <w:outlineLvl w:val="2"/>
        <w:rPr>
          <w:rFonts w:ascii="仿宋" w:hAnsi="仿宋" w:eastAsia="仿宋"/>
          <w:color w:val="FF0000"/>
          <w:sz w:val="32"/>
          <w:szCs w:val="32"/>
        </w:rPr>
      </w:pPr>
      <w:bookmarkStart w:id="42" w:name="_Toc15377444"/>
      <w:bookmarkStart w:id="43" w:name="_Toc15378460"/>
      <w:bookmarkStart w:id="44" w:name="_Toc15377213"/>
      <w:r>
        <w:rPr>
          <w:rFonts w:hint="eastAsia" w:ascii="仿宋" w:hAnsi="仿宋" w:eastAsia="仿宋"/>
          <w:b/>
          <w:color w:val="000000" w:themeColor="text1"/>
          <w:sz w:val="32"/>
          <w:szCs w:val="32"/>
        </w:rPr>
        <w:t>2020年般公共预算支出决算数为</w:t>
      </w:r>
      <w:r>
        <w:rPr>
          <w:rFonts w:ascii="仿宋" w:hAnsi="仿宋" w:eastAsia="仿宋"/>
          <w:color w:val="000000"/>
          <w:sz w:val="32"/>
          <w:szCs w:val="32"/>
        </w:rPr>
        <w:t>1503.33</w:t>
      </w:r>
      <w:r>
        <w:rPr>
          <w:rFonts w:hint="eastAsia" w:ascii="仿宋" w:hAnsi="仿宋" w:eastAsia="仿宋"/>
          <w:color w:val="000000"/>
          <w:sz w:val="32"/>
          <w:szCs w:val="32"/>
        </w:rPr>
        <w:t>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2"/>
      <w:bookmarkEnd w:id="43"/>
      <w:bookmarkEnd w:id="44"/>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一般公共服务（类）（款）（项）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rPr>
        <w:t>1252.94</w:t>
      </w:r>
      <w:r>
        <w:rPr>
          <w:rFonts w:hint="eastAsia" w:ascii="仿宋" w:hAnsi="仿宋" w:eastAsia="仿宋"/>
          <w:color w:val="000000" w:themeColor="text1"/>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支出决算为0万元，完成预算0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rPr>
        <w:t>116.88</w:t>
      </w:r>
      <w:r>
        <w:rPr>
          <w:rFonts w:hint="eastAsia" w:ascii="仿宋" w:hAnsi="仿宋" w:eastAsia="仿宋"/>
          <w:color w:val="000000" w:themeColor="text1"/>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rPr>
        <w:t>51.28</w:t>
      </w:r>
      <w:r>
        <w:rPr>
          <w:rFonts w:hint="eastAsia" w:ascii="仿宋" w:hAnsi="仿宋" w:eastAsia="仿宋"/>
          <w:color w:val="000000" w:themeColor="text1"/>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rPr>
        <w:t>住房保障</w:t>
      </w:r>
      <w:r>
        <w:rPr>
          <w:rStyle w:val="14"/>
          <w:rFonts w:hint="eastAsia" w:ascii="仿宋" w:hAnsi="仿宋" w:eastAsia="仿宋"/>
          <w:bCs/>
          <w:color w:val="000000"/>
          <w:sz w:val="32"/>
          <w:szCs w:val="32"/>
        </w:rPr>
        <w:t>（类）</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ascii="仿宋" w:hAnsi="仿宋" w:eastAsia="仿宋"/>
          <w:color w:val="000000" w:themeColor="text1"/>
          <w:sz w:val="32"/>
          <w:szCs w:val="32"/>
        </w:rPr>
        <w:t>82.22</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5" w:name="_Toc15396608"/>
      <w:bookmarkStart w:id="4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5"/>
      <w:bookmarkEnd w:id="46"/>
      <w:r>
        <w:rPr>
          <w:rStyle w:val="25"/>
          <w:rFonts w:ascii="黑体" w:hAnsi="黑体" w:eastAsia="黑体"/>
          <w:b w:val="0"/>
        </w:rPr>
        <w:tab/>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2020年一般公共预算财政拨款基本支出人员经费</w:t>
      </w:r>
      <w:r>
        <w:rPr>
          <w:rFonts w:ascii="仿宋" w:hAnsi="仿宋" w:eastAsia="仿宋"/>
          <w:color w:val="000000"/>
          <w:sz w:val="32"/>
          <w:szCs w:val="32"/>
        </w:rPr>
        <w:t>1294.18</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ascii="仿宋" w:hAnsi="仿宋" w:eastAsia="仿宋"/>
          <w:color w:val="000000"/>
          <w:sz w:val="32"/>
          <w:szCs w:val="32"/>
        </w:rPr>
        <w:t>114.08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outlineLvl w:val="1"/>
        <w:rPr>
          <w:rStyle w:val="25"/>
          <w:rFonts w:ascii="黑体" w:hAnsi="黑体" w:eastAsia="黑体"/>
          <w:b w:val="0"/>
        </w:rPr>
      </w:pPr>
      <w:bookmarkStart w:id="47" w:name="_Toc15377215"/>
      <w:bookmarkStart w:id="48"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7"/>
      <w:bookmarkEnd w:id="48"/>
    </w:p>
    <w:p>
      <w:pPr>
        <w:spacing w:line="600" w:lineRule="exact"/>
        <w:outlineLvl w:val="2"/>
        <w:rPr>
          <w:rFonts w:ascii="仿宋" w:hAnsi="仿宋" w:eastAsia="仿宋"/>
          <w:b/>
          <w:color w:val="000000"/>
          <w:sz w:val="32"/>
          <w:szCs w:val="32"/>
        </w:rPr>
      </w:pPr>
      <w:bookmarkStart w:id="49" w:name="_Toc15377216"/>
      <w:r>
        <w:rPr>
          <w:rFonts w:hint="eastAsia" w:ascii="仿宋" w:hAnsi="仿宋" w:eastAsia="仿宋"/>
          <w:b/>
          <w:color w:val="000000"/>
          <w:sz w:val="32"/>
          <w:szCs w:val="32"/>
          <w:lang w:eastAsia="zh-CN"/>
        </w:rPr>
        <w:t>　</w:t>
      </w:r>
      <w:r>
        <w:rPr>
          <w:rFonts w:hint="eastAsia" w:ascii="仿宋" w:hAnsi="仿宋" w:eastAsia="仿宋"/>
          <w:b/>
          <w:color w:val="000000"/>
          <w:sz w:val="32"/>
          <w:szCs w:val="32"/>
        </w:rPr>
        <w:t>（一）“三公”经费财政拨款支出决算总体情况说明</w:t>
      </w:r>
      <w:bookmarkEnd w:id="49"/>
    </w:p>
    <w:p>
      <w:pPr>
        <w:spacing w:line="600" w:lineRule="exact"/>
        <w:ind w:firstLine="640"/>
        <w:rPr>
          <w:rFonts w:ascii="仿宋" w:hAnsi="仿宋" w:eastAsia="仿宋"/>
          <w:b/>
          <w:color w:val="FF0000"/>
          <w:sz w:val="32"/>
          <w:szCs w:val="32"/>
        </w:rPr>
      </w:pPr>
      <w:r>
        <w:rPr>
          <w:rFonts w:hint="eastAsia" w:ascii="仿宋" w:hAnsi="仿宋" w:eastAsia="仿宋"/>
          <w:color w:val="000000"/>
          <w:sz w:val="32"/>
          <w:szCs w:val="32"/>
        </w:rPr>
        <w:t>2020年“三公”经费财政拨款支出决算为</w:t>
      </w:r>
      <w:r>
        <w:rPr>
          <w:rFonts w:ascii="仿宋" w:hAnsi="仿宋" w:eastAsia="仿宋"/>
          <w:color w:val="000000"/>
          <w:sz w:val="32"/>
          <w:szCs w:val="32"/>
        </w:rPr>
        <w:t>1.4</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，决算数比预算数略有减少，主要原因是加强了“三公”经费的管理。</w:t>
      </w:r>
    </w:p>
    <w:p>
      <w:pPr>
        <w:spacing w:line="600" w:lineRule="exact"/>
        <w:outlineLvl w:val="2"/>
        <w:rPr>
          <w:rFonts w:ascii="仿宋" w:hAnsi="仿宋" w:eastAsia="仿宋"/>
          <w:b/>
          <w:color w:val="000000"/>
          <w:sz w:val="32"/>
          <w:szCs w:val="32"/>
        </w:rPr>
      </w:pPr>
      <w:bookmarkStart w:id="50" w:name="_Toc15377217"/>
      <w:r>
        <w:rPr>
          <w:rFonts w:hint="eastAsia" w:ascii="仿宋" w:hAnsi="仿宋" w:eastAsia="仿宋"/>
          <w:b/>
          <w:color w:val="000000"/>
          <w:sz w:val="32"/>
          <w:szCs w:val="32"/>
          <w:lang w:eastAsia="zh-CN"/>
        </w:rPr>
        <w:t>　</w:t>
      </w:r>
      <w:r>
        <w:rPr>
          <w:rFonts w:hint="eastAsia" w:ascii="仿宋" w:hAnsi="仿宋" w:eastAsia="仿宋"/>
          <w:b/>
          <w:color w:val="000000"/>
          <w:sz w:val="32"/>
          <w:szCs w:val="32"/>
        </w:rPr>
        <w:t>（二）“三公”经费财政拨款支出决算具体情况说明</w:t>
      </w:r>
      <w:bookmarkEnd w:id="50"/>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ascii="仿宋" w:hAnsi="仿宋" w:eastAsia="仿宋"/>
          <w:color w:val="000000"/>
          <w:sz w:val="32"/>
          <w:szCs w:val="32"/>
        </w:rPr>
        <w:t>1.4</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rPr>
          <w:rFonts w:hint="eastAsia" w:ascii="仿宋" w:hAnsi="仿宋" w:eastAsia="仿宋"/>
          <w:color w:val="000000"/>
          <w:sz w:val="32"/>
          <w:szCs w:val="32"/>
        </w:rPr>
      </w:pPr>
      <w:r>
        <w:rPr>
          <w:rFonts w:ascii="仿宋" w:hAnsi="仿宋" w:eastAsia="仿宋"/>
          <w:color w:val="000000"/>
          <w:sz w:val="32"/>
          <w:szCs w:val="32"/>
        </w:rPr>
        <w:pict>
          <v:shape id="_x0000_s1038" o:spid="_x0000_s1038" o:spt="75" type="#_x0000_t75" style="position:absolute;left:0pt;margin-left:0.1pt;margin-top:2.55pt;height:266.55pt;width:429.65pt;z-index:251661312;mso-width-relative:page;mso-height-relative:page;" o:ole="t" filled="f" o:preferrelative="t" stroked="f" coordsize="21600,21600">
            <v:path/>
            <v:fill on="f" focussize="0,0"/>
            <v:stroke on="f" joinstyle="miter"/>
            <v:imagedata r:id="rId13" o:title=""/>
            <o:lock v:ext="edit" aspectratio="t"/>
          </v:shape>
          <o:OLEObject Type="Embed" ProgID="Excel.Sheet.8" ShapeID="_x0000_s1038" DrawAspect="Content" ObjectID="_1468075725" r:id="rId12">
            <o:LockedField>false</o:LockedField>
          </o:OLEObject>
        </w:pict>
      </w:r>
    </w:p>
    <w:p>
      <w:pPr>
        <w:spacing w:line="600" w:lineRule="exact"/>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numPr>
          <w:ilvl w:val="0"/>
          <w:numId w:val="2"/>
        </w:num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numPr>
          <w:ilvl w:val="0"/>
          <w:numId w:val="2"/>
        </w:num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完成预算0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1.4</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9年减少</w:t>
      </w:r>
      <w:r>
        <w:rPr>
          <w:rFonts w:ascii="仿宋_GB2312" w:eastAsia="仿宋_GB2312"/>
          <w:color w:val="000000"/>
          <w:sz w:val="32"/>
          <w:szCs w:val="32"/>
        </w:rPr>
        <w:t>0.1</w:t>
      </w:r>
      <w:r>
        <w:rPr>
          <w:rFonts w:hint="eastAsia" w:ascii="仿宋_GB2312" w:eastAsia="仿宋_GB2312"/>
          <w:color w:val="000000"/>
          <w:sz w:val="32"/>
          <w:szCs w:val="32"/>
        </w:rPr>
        <w:t>万元。主要原因是加强了“三公”经费的管理。</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国内公务接待支出</w:t>
      </w:r>
      <w:r>
        <w:rPr>
          <w:rFonts w:ascii="仿宋" w:hAnsi="仿宋" w:eastAsia="仿宋"/>
          <w:color w:val="000000"/>
          <w:sz w:val="32"/>
          <w:szCs w:val="32"/>
        </w:rPr>
        <w:t>1.4</w:t>
      </w:r>
      <w:r>
        <w:rPr>
          <w:rFonts w:hint="eastAsia" w:ascii="仿宋_GB2312" w:eastAsia="仿宋_GB2312"/>
          <w:color w:val="000000"/>
          <w:sz w:val="32"/>
          <w:szCs w:val="32"/>
        </w:rPr>
        <w:t>万元，主要用于 (执行公务、开展业务活动开支的交通费、住宿费、用餐费等)。国内公务接待</w:t>
      </w:r>
      <w:r>
        <w:rPr>
          <w:rFonts w:ascii="仿宋_GB2312" w:eastAsia="仿宋_GB2312"/>
          <w:color w:val="000000"/>
          <w:sz w:val="32"/>
          <w:szCs w:val="32"/>
        </w:rPr>
        <w:t>36</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332</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1.4</w:t>
      </w:r>
      <w:r>
        <w:rPr>
          <w:rFonts w:hint="eastAsia" w:ascii="仿宋_GB2312" w:eastAsia="仿宋_GB2312"/>
          <w:color w:val="000000"/>
          <w:sz w:val="32"/>
          <w:szCs w:val="32"/>
        </w:rPr>
        <w:t>万元。</w:t>
      </w:r>
    </w:p>
    <w:p>
      <w:pPr>
        <w:spacing w:line="600" w:lineRule="exact"/>
        <w:outlineLvl w:val="1"/>
        <w:rPr>
          <w:rStyle w:val="25"/>
          <w:rFonts w:ascii="黑体" w:hAnsi="黑体" w:eastAsia="黑体"/>
        </w:rPr>
      </w:pPr>
      <w:bookmarkStart w:id="51" w:name="_Toc15377218"/>
      <w:bookmarkStart w:id="52"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1"/>
      <w:bookmarkEnd w:id="52"/>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3"/>
        <w:numPr>
          <w:ilvl w:val="0"/>
          <w:numId w:val="3"/>
        </w:numPr>
        <w:spacing w:line="600" w:lineRule="exact"/>
        <w:ind w:firstLineChars="0"/>
        <w:outlineLvl w:val="1"/>
        <w:rPr>
          <w:rStyle w:val="25"/>
          <w:rFonts w:ascii="黑体" w:hAnsi="黑体" w:eastAsia="黑体"/>
          <w:b w:val="0"/>
        </w:rPr>
      </w:pPr>
      <w:bookmarkStart w:id="53" w:name="_Toc15396611"/>
      <w:bookmarkStart w:id="54" w:name="_Toc15377219"/>
      <w:r>
        <w:rPr>
          <w:rStyle w:val="25"/>
          <w:rFonts w:hint="eastAsia" w:ascii="黑体" w:hAnsi="黑体" w:eastAsia="黑体"/>
          <w:b w:val="0"/>
        </w:rPr>
        <w:t>国有资本经营预算支出决算情况说明</w:t>
      </w:r>
      <w:bookmarkEnd w:id="53"/>
      <w:bookmarkEnd w:id="54"/>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2020年国有资本经营预算拨款支出0万元。</w:t>
      </w:r>
    </w:p>
    <w:p>
      <w:pPr>
        <w:spacing w:line="600" w:lineRule="exact"/>
        <w:outlineLvl w:val="1"/>
        <w:rPr>
          <w:rStyle w:val="25"/>
          <w:rFonts w:ascii="黑体" w:hAnsi="黑体" w:eastAsia="黑体"/>
        </w:rPr>
      </w:pPr>
      <w:bookmarkStart w:id="55" w:name="_Toc15396612"/>
      <w:bookmarkStart w:id="56"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5"/>
      <w:bookmarkEnd w:id="56"/>
    </w:p>
    <w:p>
      <w:pPr>
        <w:autoSpaceDE w:val="0"/>
        <w:autoSpaceDN w:val="0"/>
        <w:adjustRightInd w:val="0"/>
        <w:spacing w:line="600" w:lineRule="exact"/>
        <w:jc w:val="left"/>
        <w:outlineLvl w:val="2"/>
        <w:rPr>
          <w:rFonts w:ascii="仿宋" w:hAnsi="仿宋" w:eastAsia="仿宋"/>
          <w:b/>
          <w:color w:val="000000"/>
          <w:sz w:val="32"/>
          <w:szCs w:val="32"/>
        </w:rPr>
      </w:pPr>
      <w:r>
        <w:rPr>
          <w:rFonts w:hint="eastAsia" w:ascii="仿宋" w:hAnsi="仿宋" w:eastAsia="仿宋"/>
          <w:b/>
          <w:color w:val="000000"/>
          <w:sz w:val="32"/>
          <w:szCs w:val="32"/>
          <w:lang w:eastAsia="zh-CN"/>
        </w:rPr>
        <w:t>　</w:t>
      </w:r>
      <w:r>
        <w:rPr>
          <w:rFonts w:hint="eastAsia" w:ascii="仿宋" w:hAnsi="仿宋" w:eastAsia="仿宋"/>
          <w:b/>
          <w:color w:val="000000"/>
          <w:sz w:val="32"/>
          <w:szCs w:val="32"/>
        </w:rPr>
        <w:t>（一）机关运行经费支出情况</w:t>
      </w:r>
    </w:p>
    <w:p>
      <w:pPr>
        <w:autoSpaceDE w:val="0"/>
        <w:autoSpaceDN w:val="0"/>
        <w:adjustRightInd w:val="0"/>
        <w:spacing w:line="600" w:lineRule="exact"/>
        <w:ind w:firstLine="640" w:firstLineChars="200"/>
        <w:jc w:val="left"/>
        <w:outlineLvl w:val="2"/>
        <w:rPr>
          <w:rFonts w:ascii="仿宋" w:hAnsi="仿宋" w:eastAsia="仿宋"/>
          <w:bCs/>
          <w:color w:val="000000"/>
          <w:sz w:val="32"/>
          <w:szCs w:val="32"/>
        </w:rPr>
      </w:pPr>
      <w:r>
        <w:rPr>
          <w:rFonts w:hint="eastAsia" w:ascii="仿宋" w:hAnsi="仿宋" w:eastAsia="仿宋"/>
          <w:bCs/>
          <w:color w:val="000000"/>
          <w:sz w:val="32"/>
          <w:szCs w:val="32"/>
        </w:rPr>
        <w:t>2020年本单位无此项支出。</w:t>
      </w:r>
    </w:p>
    <w:p>
      <w:pPr>
        <w:autoSpaceDE w:val="0"/>
        <w:autoSpaceDN w:val="0"/>
        <w:adjustRightInd w:val="0"/>
        <w:spacing w:line="600" w:lineRule="exact"/>
        <w:jc w:val="left"/>
        <w:outlineLvl w:val="2"/>
        <w:rPr>
          <w:rFonts w:ascii="仿宋" w:hAnsi="仿宋" w:eastAsia="仿宋"/>
          <w:b/>
          <w:color w:val="000000"/>
          <w:sz w:val="32"/>
          <w:szCs w:val="32"/>
        </w:rPr>
      </w:pPr>
      <w:r>
        <w:rPr>
          <w:rFonts w:hint="eastAsia" w:ascii="仿宋" w:hAnsi="仿宋" w:eastAsia="仿宋"/>
          <w:b/>
          <w:color w:val="000000"/>
          <w:sz w:val="32"/>
          <w:szCs w:val="32"/>
          <w:lang w:eastAsia="zh-CN"/>
        </w:rPr>
        <w:t>　</w:t>
      </w:r>
      <w:r>
        <w:rPr>
          <w:rFonts w:hint="eastAsia" w:ascii="仿宋" w:hAnsi="仿宋" w:eastAsia="仿宋"/>
          <w:b/>
          <w:color w:val="000000"/>
          <w:sz w:val="32"/>
          <w:szCs w:val="32"/>
        </w:rPr>
        <w:t>（二）政府采购支出情况</w:t>
      </w:r>
    </w:p>
    <w:p>
      <w:pPr>
        <w:autoSpaceDE w:val="0"/>
        <w:autoSpaceDN w:val="0"/>
        <w:adjustRightInd w:val="0"/>
        <w:spacing w:line="600" w:lineRule="exact"/>
        <w:ind w:firstLine="640" w:firstLineChars="200"/>
        <w:jc w:val="left"/>
        <w:outlineLvl w:val="2"/>
        <w:rPr>
          <w:rFonts w:ascii="仿宋" w:hAnsi="仿宋" w:eastAsia="仿宋"/>
          <w:bCs/>
          <w:color w:val="000000"/>
          <w:sz w:val="32"/>
          <w:szCs w:val="32"/>
        </w:rPr>
      </w:pPr>
      <w:r>
        <w:rPr>
          <w:rFonts w:hint="eastAsia" w:ascii="仿宋" w:hAnsi="仿宋" w:eastAsia="仿宋"/>
          <w:bCs/>
          <w:color w:val="000000"/>
          <w:sz w:val="32"/>
          <w:szCs w:val="32"/>
        </w:rPr>
        <w:t>2020年，本单位无此项支出。</w:t>
      </w:r>
    </w:p>
    <w:p>
      <w:pPr>
        <w:autoSpaceDE w:val="0"/>
        <w:autoSpaceDN w:val="0"/>
        <w:adjustRightInd w:val="0"/>
        <w:spacing w:line="600" w:lineRule="exact"/>
        <w:jc w:val="left"/>
        <w:outlineLvl w:val="2"/>
        <w:rPr>
          <w:rFonts w:ascii="仿宋" w:hAnsi="仿宋" w:eastAsia="仿宋"/>
          <w:b/>
          <w:color w:val="000000"/>
          <w:sz w:val="32"/>
          <w:szCs w:val="32"/>
        </w:rPr>
      </w:pPr>
      <w:r>
        <w:rPr>
          <w:rFonts w:hint="eastAsia" w:ascii="仿宋" w:hAnsi="仿宋" w:eastAsia="仿宋"/>
          <w:b/>
          <w:color w:val="000000"/>
          <w:sz w:val="32"/>
          <w:szCs w:val="32"/>
          <w:lang w:eastAsia="zh-CN"/>
        </w:rPr>
        <w:t>　</w:t>
      </w:r>
      <w:r>
        <w:rPr>
          <w:rFonts w:hint="eastAsia" w:ascii="仿宋" w:hAnsi="仿宋" w:eastAsia="仿宋"/>
          <w:b/>
          <w:color w:val="000000"/>
          <w:sz w:val="32"/>
          <w:szCs w:val="32"/>
        </w:rPr>
        <w:t>（三）国有资产占有使用情况</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Cs/>
          <w:color w:val="000000"/>
          <w:sz w:val="32"/>
          <w:szCs w:val="32"/>
        </w:rPr>
        <w:t>截至2020年12月31日，本单位无国有资产占有使用情况。</w:t>
      </w:r>
      <w:r>
        <w:rPr>
          <w:rFonts w:hint="eastAsia" w:ascii="仿宋" w:hAnsi="仿宋" w:eastAsia="仿宋"/>
          <w:bCs/>
          <w:color w:val="000000"/>
          <w:sz w:val="32"/>
          <w:szCs w:val="32"/>
          <w:lang w:eastAsia="zh-CN"/>
        </w:rPr>
        <w:t>　　　　　　　　　　　　　　　　</w:t>
      </w: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根据预算绩效管理要求，本部门按要求对2020年部门整体支出开展绩效自评，从评价情况来看全面完成了预算执行，达到了预期效果。 </w:t>
      </w:r>
    </w:p>
    <w:p>
      <w:pPr>
        <w:spacing w:line="58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1.项目绩效目标完成情况。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本单位2019年度无项目执行情况。</w:t>
      </w: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b/>
          <w:bCs/>
          <w:sz w:val="32"/>
          <w:szCs w:val="32"/>
        </w:rPr>
        <w:t>2.部门绩效评价结果</w:t>
      </w:r>
      <w:r>
        <w:rPr>
          <w:rFonts w:hint="eastAsia" w:ascii="楷体_GB2312" w:hAnsi="楷体_GB2312" w:eastAsia="楷体_GB2312" w:cs="楷体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本部门按要求对2020年部门整体支出绩效评价情况开展自评，《开江县长岭镇中心小学校2020年部门整体支出绩效评价报告》见附件1。</w:t>
      </w: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57" w:name="_Toc15396613"/>
      <w:bookmarkStart w:id="58"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7"/>
      <w:bookmarkEnd w:id="58"/>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bookmarkStart w:id="59"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560" w:lineRule="exact"/>
        <w:ind w:firstLine="640" w:firstLineChars="200"/>
        <w:rPr>
          <w:rFonts w:hint="eastAsia" w:eastAsia="方正仿宋简体"/>
          <w:color w:val="000000"/>
          <w:sz w:val="32"/>
          <w:szCs w:val="32"/>
          <w:lang w:val="en-US" w:eastAsia="zh-CN"/>
        </w:rPr>
      </w:pPr>
      <w:r>
        <w:rPr>
          <w:rFonts w:eastAsia="方正仿宋简体"/>
          <w:color w:val="000000"/>
          <w:sz w:val="32"/>
          <w:szCs w:val="32"/>
        </w:rPr>
        <w:t>9、教育（类）:</w:t>
      </w:r>
      <w:r>
        <w:rPr>
          <w:rFonts w:hint="eastAsia" w:eastAsia="方正仿宋简体"/>
          <w:color w:val="000000"/>
          <w:sz w:val="32"/>
          <w:szCs w:val="32"/>
          <w:lang w:eastAsia="zh-CN"/>
        </w:rPr>
        <w:t>指普通小学教育。</w:t>
      </w:r>
    </w:p>
    <w:p>
      <w:pPr>
        <w:spacing w:line="560" w:lineRule="exact"/>
        <w:ind w:firstLine="640" w:firstLineChars="200"/>
        <w:rPr>
          <w:rFonts w:eastAsia="方正仿宋简体"/>
          <w:color w:val="000000"/>
          <w:sz w:val="32"/>
          <w:szCs w:val="32"/>
        </w:rPr>
      </w:pPr>
      <w:r>
        <w:rPr>
          <w:rFonts w:eastAsia="方正仿宋简体"/>
          <w:color w:val="000000"/>
          <w:sz w:val="32"/>
          <w:szCs w:val="32"/>
        </w:rPr>
        <w:t>10、社会保障和就业（类）</w:t>
      </w:r>
      <w:r>
        <w:rPr>
          <w:rFonts w:hint="eastAsia" w:eastAsia="方正仿宋简体"/>
          <w:color w:val="000000"/>
          <w:sz w:val="32"/>
          <w:szCs w:val="32"/>
          <w:lang w:eastAsia="zh-CN"/>
        </w:rPr>
        <w:t>：</w:t>
      </w:r>
      <w:r>
        <w:rPr>
          <w:rFonts w:eastAsia="方正仿宋简体"/>
          <w:color w:val="000000"/>
          <w:sz w:val="32"/>
          <w:szCs w:val="32"/>
        </w:rPr>
        <w:t>机关事业单位基本养老保险缴费支出</w:t>
      </w:r>
      <w:r>
        <w:rPr>
          <w:rFonts w:hint="eastAsia" w:eastAsia="方正仿宋简体"/>
          <w:color w:val="000000"/>
          <w:sz w:val="32"/>
          <w:szCs w:val="32"/>
          <w:lang w:eastAsia="zh-CN"/>
        </w:rPr>
        <w:t>。</w:t>
      </w:r>
      <w:r>
        <w:rPr>
          <w:rFonts w:eastAsia="方正仿宋简体"/>
          <w:color w:val="000000"/>
          <w:sz w:val="32"/>
          <w:szCs w:val="32"/>
        </w:rPr>
        <w:t xml:space="preserve"> </w:t>
      </w:r>
    </w:p>
    <w:p>
      <w:pPr>
        <w:spacing w:line="560" w:lineRule="exact"/>
        <w:ind w:firstLine="640" w:firstLineChars="200"/>
        <w:rPr>
          <w:rFonts w:hint="eastAsia" w:eastAsia="方正仿宋简体"/>
          <w:color w:val="000000"/>
          <w:sz w:val="32"/>
          <w:szCs w:val="32"/>
          <w:lang w:eastAsia="zh-CN"/>
        </w:rPr>
      </w:pPr>
      <w:r>
        <w:rPr>
          <w:rFonts w:eastAsia="方正仿宋简体"/>
          <w:color w:val="000000"/>
          <w:sz w:val="32"/>
          <w:szCs w:val="32"/>
        </w:rPr>
        <w:t>11、卫生健康（类）行政事业单位医疗（款）事业单位医疗（项）:</w:t>
      </w:r>
      <w:r>
        <w:rPr>
          <w:rFonts w:hint="eastAsia" w:eastAsia="方正仿宋简体"/>
          <w:color w:val="000000"/>
          <w:sz w:val="32"/>
          <w:szCs w:val="32"/>
          <w:lang w:eastAsia="zh-CN"/>
        </w:rPr>
        <w:t>医疗保险支出。</w:t>
      </w:r>
      <w:bookmarkStart w:id="75" w:name="_GoBack"/>
      <w:bookmarkEnd w:id="75"/>
    </w:p>
    <w:p>
      <w:pPr>
        <w:spacing w:line="560" w:lineRule="exact"/>
        <w:ind w:firstLine="640" w:firstLineChars="200"/>
        <w:rPr>
          <w:rFonts w:eastAsia="方正仿宋简体"/>
          <w:color w:val="000000"/>
          <w:sz w:val="32"/>
          <w:szCs w:val="32"/>
        </w:rPr>
      </w:pPr>
      <w:r>
        <w:rPr>
          <w:rFonts w:eastAsia="方正仿宋简体"/>
          <w:color w:val="000000"/>
          <w:sz w:val="32"/>
          <w:szCs w:val="32"/>
        </w:rPr>
        <w:t>12、住房保障支出（类）住房改革支出（款）住房公积金（项）:</w:t>
      </w:r>
      <w:r>
        <w:rPr>
          <w:rFonts w:hint="eastAsia" w:eastAsia="方正仿宋简体"/>
          <w:color w:val="000000"/>
          <w:sz w:val="32"/>
          <w:szCs w:val="32"/>
          <w:lang w:eastAsia="zh-CN"/>
        </w:rPr>
        <w:t>指住房公积金支出</w:t>
      </w:r>
      <w:r>
        <w:rPr>
          <w:rFonts w:eastAsia="方正仿宋简体"/>
          <w:color w:val="000000"/>
          <w:sz w:val="32"/>
          <w:szCs w:val="32"/>
        </w:rPr>
        <w:t>。</w:t>
      </w:r>
    </w:p>
    <w:p>
      <w:pPr>
        <w:spacing w:line="560" w:lineRule="exact"/>
        <w:ind w:firstLine="640" w:firstLineChars="200"/>
        <w:rPr>
          <w:rFonts w:eastAsia="方正仿宋简体"/>
          <w:color w:val="000000"/>
          <w:sz w:val="32"/>
          <w:szCs w:val="32"/>
        </w:rPr>
      </w:pPr>
      <w:r>
        <w:rPr>
          <w:rFonts w:eastAsia="方正仿宋简体"/>
          <w:color w:val="000000"/>
          <w:sz w:val="32"/>
          <w:szCs w:val="32"/>
        </w:rPr>
        <w:t>13.基本支出：指为保障机构正常运转、完成日常工作任务而发生的人员支出和公用支出。</w:t>
      </w:r>
    </w:p>
    <w:p>
      <w:pPr>
        <w:spacing w:line="560" w:lineRule="exact"/>
        <w:ind w:firstLine="640" w:firstLineChars="200"/>
        <w:rPr>
          <w:rFonts w:eastAsia="方正仿宋简体"/>
          <w:color w:val="000000"/>
          <w:sz w:val="32"/>
          <w:szCs w:val="32"/>
        </w:rPr>
      </w:pPr>
      <w:r>
        <w:rPr>
          <w:rFonts w:eastAsia="方正仿宋简体"/>
          <w:color w:val="000000"/>
          <w:sz w:val="32"/>
          <w:szCs w:val="32"/>
        </w:rPr>
        <w:t xml:space="preserve">14.项目支出：指在基本支出之外为完成特定行政任务和事业发展目标所发生的支出。 </w:t>
      </w:r>
    </w:p>
    <w:p>
      <w:pPr>
        <w:spacing w:line="560" w:lineRule="exact"/>
        <w:ind w:firstLine="640" w:firstLineChars="200"/>
        <w:rPr>
          <w:rFonts w:eastAsia="方正仿宋简体"/>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经营支出：指事业单位在专业业务活动及其辅助活动之外开展非独立核算经营活动发生的支出。</w:t>
      </w:r>
    </w:p>
    <w:p>
      <w:pPr>
        <w:spacing w:line="560" w:lineRule="exact"/>
        <w:ind w:firstLine="640" w:firstLineChars="200"/>
        <w:rPr>
          <w:rFonts w:eastAsia="方正仿宋简体"/>
          <w:color w:val="000000"/>
          <w:sz w:val="32"/>
          <w:szCs w:val="32"/>
        </w:rPr>
      </w:pPr>
      <w:r>
        <w:rPr>
          <w:rFonts w:hint="eastAsia" w:eastAsia="方正仿宋简体"/>
          <w:color w:val="000000"/>
          <w:sz w:val="32"/>
          <w:szCs w:val="32"/>
          <w:lang w:val="en-US" w:eastAsia="zh-CN"/>
        </w:rPr>
        <w:t>16</w:t>
      </w:r>
      <w:r>
        <w:rPr>
          <w:rFonts w:eastAsia="方正仿宋简体"/>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color w:val="000000"/>
          <w:sz w:val="32"/>
          <w:szCs w:val="32"/>
        </w:rPr>
      </w:pPr>
      <w:r>
        <w:rPr>
          <w:rFonts w:hint="eastAsia" w:eastAsia="方正仿宋简体"/>
          <w:color w:val="000000"/>
          <w:sz w:val="32"/>
          <w:szCs w:val="32"/>
          <w:lang w:val="en-US" w:eastAsia="zh-CN"/>
        </w:rPr>
        <w:t>17</w:t>
      </w:r>
      <w:r>
        <w:rPr>
          <w:rFonts w:eastAsia="方正仿宋简体"/>
          <w:color w:val="000000"/>
          <w:sz w:val="32"/>
          <w:szCs w:val="32"/>
        </w:rPr>
        <w:t>.公用支出：为保障单位运行用于购买货物和服务的各项资金，包括办公及印刷费、邮电费、差旅费、会议费、福利费、日常维修费、专用材料及一般设备购置费、办公用房水电费、办公用房物业管理费以及其他费用。</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p>
    <w:p>
      <w:pPr>
        <w:spacing w:line="600" w:lineRule="exact"/>
        <w:jc w:val="center"/>
        <w:outlineLvl w:val="0"/>
        <w:rPr>
          <w:rStyle w:val="24"/>
          <w:rFonts w:ascii="黑体" w:hAnsi="黑体" w:eastAsia="黑体"/>
          <w:b w:val="0"/>
        </w:rPr>
      </w:pPr>
      <w:r>
        <w:rPr>
          <w:rFonts w:ascii="宋体"/>
          <w:b/>
          <w:color w:val="000000"/>
          <w:sz w:val="44"/>
          <w:szCs w:val="44"/>
        </w:rPr>
        <w:br w:type="page"/>
      </w:r>
      <w:bookmarkStart w:id="60"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60"/>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开江县长岭镇中心小学校</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4"/>
          <w:szCs w:val="44"/>
        </w:rPr>
        <w:t>2020年部门整体支出绩效评价报告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3"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开江县长岭镇中心小学校属全额拨款事业单位，是一个独立核算单位。我校是一所镇级农村小学，下辖一所中心幼儿园及四所村小。</w:t>
      </w:r>
      <w:r>
        <w:rPr>
          <w:rFonts w:hint="eastAsia" w:ascii="仿宋" w:hAnsi="仿宋" w:eastAsia="仿宋"/>
          <w:sz w:val="32"/>
          <w:szCs w:val="32"/>
        </w:rPr>
        <w:t>内设机构9个，包括：办公室、教务处、教科室、政教处、后勤财务室、党建办公室、工会办公室、体卫艺处、团队办公室。小学教学班37个，学生数1506人，在职在编教职工人105人，退休教职工86人。</w:t>
      </w:r>
    </w:p>
    <w:p>
      <w:pPr>
        <w:widowControl/>
        <w:numPr>
          <w:ilvl w:val="0"/>
          <w:numId w:val="5"/>
        </w:numPr>
        <w:adjustRightInd w:val="0"/>
        <w:snapToGrid w:val="0"/>
        <w:spacing w:line="580" w:lineRule="exact"/>
        <w:ind w:firstLine="643" w:firstLineChars="200"/>
        <w:contextualSpacing/>
        <w:jc w:val="left"/>
        <w:rPr>
          <w:rFonts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机构职能。</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开江县长岭镇中心小学校隶属于开江县教育和科学技术局，是一所乡镇农村小学。在教科局和上级部门的领导下，依法教育,全面贯彻落实科学发展观，促进本校教育事业的蓬勃发展。以维护教职工利益，保障教职工合法权益，以教职工、学生的人生幸福和生命质量作为重点。</w:t>
      </w:r>
    </w:p>
    <w:p>
      <w:pPr>
        <w:widowControl/>
        <w:numPr>
          <w:ilvl w:val="0"/>
          <w:numId w:val="5"/>
        </w:numPr>
        <w:adjustRightInd w:val="0"/>
        <w:snapToGrid w:val="0"/>
        <w:spacing w:line="580" w:lineRule="exact"/>
        <w:ind w:firstLine="643"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人员概况</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left="420" w:left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2020年在编人数</w:t>
      </w:r>
      <w:r>
        <w:rPr>
          <w:rFonts w:ascii="仿宋_GB2312" w:hAnsi="宋体" w:eastAsia="仿宋_GB2312" w:cs="宋体"/>
          <w:color w:val="000000"/>
          <w:kern w:val="0"/>
          <w:sz w:val="32"/>
          <w:szCs w:val="32"/>
          <w:shd w:val="clear" w:color="auto" w:fill="FFFFFF"/>
        </w:rPr>
        <w:t>101</w:t>
      </w:r>
      <w:r>
        <w:rPr>
          <w:rFonts w:hint="eastAsia" w:ascii="仿宋_GB2312" w:hAnsi="宋体" w:eastAsia="仿宋_GB2312" w:cs="宋体"/>
          <w:color w:val="000000"/>
          <w:kern w:val="0"/>
          <w:sz w:val="32"/>
          <w:szCs w:val="32"/>
          <w:shd w:val="clear" w:color="auto" w:fill="FFFFFF"/>
        </w:rPr>
        <w:t>名，年末财政供养人数为：在职人员</w:t>
      </w:r>
      <w:r>
        <w:rPr>
          <w:rFonts w:ascii="仿宋_GB2312" w:hAnsi="宋体" w:eastAsia="仿宋_GB2312" w:cs="宋体"/>
          <w:color w:val="000000"/>
          <w:kern w:val="0"/>
          <w:sz w:val="32"/>
          <w:szCs w:val="32"/>
          <w:shd w:val="clear" w:color="auto" w:fill="FFFFFF"/>
        </w:rPr>
        <w:t>105</w:t>
      </w:r>
      <w:r>
        <w:rPr>
          <w:rFonts w:hint="eastAsia" w:ascii="仿宋_GB2312" w:hAnsi="宋体" w:eastAsia="仿宋_GB2312" w:cs="宋体"/>
          <w:color w:val="000000"/>
          <w:kern w:val="0"/>
          <w:sz w:val="32"/>
          <w:szCs w:val="32"/>
          <w:shd w:val="clear" w:color="auto" w:fill="FFFFFF"/>
        </w:rPr>
        <w:t>人，退休人员</w:t>
      </w:r>
      <w:r>
        <w:rPr>
          <w:rFonts w:ascii="仿宋_GB2312" w:hAnsi="宋体" w:eastAsia="仿宋_GB2312" w:cs="宋体"/>
          <w:color w:val="000000"/>
          <w:kern w:val="0"/>
          <w:sz w:val="32"/>
          <w:szCs w:val="32"/>
          <w:shd w:val="clear" w:color="auto" w:fill="FFFFFF"/>
        </w:rPr>
        <w:t>86</w:t>
      </w:r>
      <w:r>
        <w:rPr>
          <w:rFonts w:hint="eastAsia" w:ascii="仿宋_GB2312" w:hAnsi="宋体" w:eastAsia="仿宋_GB2312" w:cs="宋体"/>
          <w:color w:val="000000"/>
          <w:kern w:val="0"/>
          <w:sz w:val="32"/>
          <w:szCs w:val="32"/>
          <w:shd w:val="clear" w:color="auto" w:fill="FFFFFF"/>
        </w:rPr>
        <w:t>人，遗属人员15人。年末在校小学生</w:t>
      </w:r>
      <w:r>
        <w:rPr>
          <w:rFonts w:ascii="仿宋_GB2312" w:hAnsi="宋体" w:eastAsia="仿宋_GB2312" w:cs="宋体"/>
          <w:color w:val="000000"/>
          <w:kern w:val="0"/>
          <w:sz w:val="32"/>
          <w:szCs w:val="32"/>
          <w:shd w:val="clear" w:color="auto" w:fill="FFFFFF"/>
        </w:rPr>
        <w:t>1506</w:t>
      </w:r>
      <w:r>
        <w:rPr>
          <w:rFonts w:hint="eastAsia" w:ascii="仿宋_GB2312" w:hAnsi="宋体" w:eastAsia="仿宋_GB2312" w:cs="宋体"/>
          <w:color w:val="000000"/>
          <w:kern w:val="0"/>
          <w:sz w:val="32"/>
          <w:szCs w:val="32"/>
          <w:shd w:val="clear" w:color="auto" w:fill="FFFFFF"/>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2020年本年收入合计</w:t>
      </w:r>
      <w:r>
        <w:rPr>
          <w:rFonts w:ascii="仿宋" w:hAnsi="仿宋" w:eastAsia="仿宋"/>
          <w:color w:val="000000"/>
          <w:sz w:val="32"/>
          <w:szCs w:val="32"/>
        </w:rPr>
        <w:t>1813.56</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1408.26</w:t>
      </w:r>
      <w:r>
        <w:rPr>
          <w:rFonts w:hint="eastAsia" w:ascii="仿宋" w:hAnsi="仿宋" w:eastAsia="仿宋"/>
          <w:color w:val="000000"/>
          <w:sz w:val="32"/>
          <w:szCs w:val="32"/>
        </w:rPr>
        <w:t>万元，占</w:t>
      </w:r>
      <w:r>
        <w:rPr>
          <w:rFonts w:ascii="仿宋" w:hAnsi="仿宋" w:eastAsia="仿宋"/>
          <w:color w:val="000000"/>
          <w:sz w:val="32"/>
          <w:szCs w:val="32"/>
        </w:rPr>
        <w:t>77.65%</w:t>
      </w:r>
      <w:r>
        <w:rPr>
          <w:rFonts w:hint="eastAsia" w:ascii="仿宋" w:hAnsi="仿宋" w:eastAsia="仿宋"/>
          <w:color w:val="000000"/>
          <w:sz w:val="32"/>
          <w:szCs w:val="32"/>
        </w:rPr>
        <w:t>；</w:t>
      </w:r>
      <w:r>
        <w:rPr>
          <w:rFonts w:hint="eastAsia" w:ascii="仿宋" w:hAnsi="仿宋" w:eastAsia="仿宋"/>
          <w:color w:val="000000" w:themeColor="text1"/>
          <w:sz w:val="32"/>
          <w:szCs w:val="32"/>
        </w:rPr>
        <w:t>上年结转</w:t>
      </w:r>
      <w:r>
        <w:rPr>
          <w:rFonts w:ascii="仿宋" w:hAnsi="仿宋" w:eastAsia="仿宋"/>
          <w:color w:val="000000" w:themeColor="text1"/>
          <w:sz w:val="32"/>
          <w:szCs w:val="32"/>
        </w:rPr>
        <w:t>405.3</w:t>
      </w:r>
      <w:r>
        <w:rPr>
          <w:rFonts w:hint="eastAsia" w:ascii="仿宋" w:hAnsi="仿宋" w:eastAsia="仿宋"/>
          <w:color w:val="000000" w:themeColor="text1"/>
          <w:sz w:val="32"/>
          <w:szCs w:val="32"/>
        </w:rPr>
        <w:t>万元，为工程款。</w:t>
      </w:r>
      <w:r>
        <w:rPr>
          <w:rFonts w:ascii="仿宋" w:hAnsi="仿宋" w:eastAsia="仿宋"/>
          <w:color w:val="000000"/>
          <w:sz w:val="32"/>
          <w:szCs w:val="32"/>
        </w:rPr>
        <w:t xml:space="preserve"> </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600" w:lineRule="exact"/>
        <w:ind w:firstLine="640"/>
        <w:rPr>
          <w:rFonts w:ascii="仿宋" w:hAnsi="仿宋" w:eastAsia="仿宋"/>
          <w:b/>
          <w:color w:val="000000" w:themeColor="text1"/>
          <w:sz w:val="32"/>
          <w:szCs w:val="32"/>
        </w:rPr>
      </w:pPr>
      <w:r>
        <w:rPr>
          <w:rFonts w:hint="eastAsia" w:ascii="仿宋" w:hAnsi="仿宋" w:eastAsia="仿宋"/>
          <w:color w:val="000000"/>
          <w:sz w:val="32"/>
          <w:szCs w:val="32"/>
        </w:rPr>
        <w:t>2020年本年</w:t>
      </w:r>
      <w:r>
        <w:rPr>
          <w:rFonts w:hint="eastAsia" w:ascii="仿宋" w:hAnsi="仿宋" w:eastAsia="仿宋"/>
          <w:color w:val="000000" w:themeColor="text1"/>
          <w:sz w:val="32"/>
          <w:szCs w:val="32"/>
        </w:rPr>
        <w:t>支出</w:t>
      </w:r>
      <w:r>
        <w:rPr>
          <w:rFonts w:ascii="仿宋" w:hAnsi="仿宋" w:eastAsia="仿宋"/>
          <w:color w:val="000000"/>
          <w:sz w:val="32"/>
          <w:szCs w:val="32"/>
        </w:rPr>
        <w:t>1503.33</w:t>
      </w:r>
      <w:r>
        <w:rPr>
          <w:rFonts w:hint="eastAsia" w:ascii="仿宋" w:hAnsi="仿宋" w:eastAsia="仿宋"/>
          <w:color w:val="000000" w:themeColor="text1"/>
          <w:sz w:val="32"/>
          <w:szCs w:val="32"/>
        </w:rPr>
        <w:t>万元，</w:t>
      </w:r>
      <w:r>
        <w:rPr>
          <w:rFonts w:hint="eastAsia" w:ascii="仿宋" w:hAnsi="仿宋" w:eastAsia="仿宋"/>
          <w:b/>
          <w:color w:val="000000" w:themeColor="text1"/>
          <w:sz w:val="32"/>
          <w:szCs w:val="32"/>
        </w:rPr>
        <w:t>教育支出（类）</w:t>
      </w:r>
      <w:r>
        <w:rPr>
          <w:rFonts w:ascii="仿宋" w:hAnsi="仿宋" w:eastAsia="仿宋"/>
          <w:color w:val="000000" w:themeColor="text1"/>
          <w:sz w:val="32"/>
          <w:szCs w:val="32"/>
        </w:rPr>
        <w:t>1252.94</w:t>
      </w:r>
      <w:r>
        <w:rPr>
          <w:rFonts w:hint="eastAsia" w:ascii="仿宋" w:hAnsi="仿宋" w:eastAsia="仿宋"/>
          <w:color w:val="000000" w:themeColor="text1"/>
          <w:sz w:val="32"/>
          <w:szCs w:val="32"/>
        </w:rPr>
        <w:t>万元，占</w:t>
      </w:r>
      <w:r>
        <w:rPr>
          <w:rFonts w:ascii="仿宋" w:hAnsi="仿宋" w:eastAsia="仿宋"/>
          <w:color w:val="000000" w:themeColor="text1"/>
          <w:sz w:val="32"/>
          <w:szCs w:val="32"/>
        </w:rPr>
        <w:t>83.34%</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ascii="仿宋" w:hAnsi="仿宋" w:eastAsia="仿宋"/>
          <w:color w:val="000000" w:themeColor="text1"/>
          <w:sz w:val="32"/>
          <w:szCs w:val="32"/>
        </w:rPr>
        <w:t>116.88</w:t>
      </w:r>
      <w:r>
        <w:rPr>
          <w:rFonts w:hint="eastAsia" w:ascii="仿宋" w:hAnsi="仿宋" w:eastAsia="仿宋"/>
          <w:color w:val="000000" w:themeColor="text1"/>
          <w:sz w:val="32"/>
          <w:szCs w:val="32"/>
        </w:rPr>
        <w:t>万元，</w:t>
      </w:r>
      <w:r>
        <w:rPr>
          <w:rFonts w:hint="eastAsia" w:ascii="仿宋" w:hAnsi="仿宋" w:eastAsia="仿宋"/>
          <w:b/>
          <w:bCs/>
          <w:color w:val="000000" w:themeColor="text1"/>
          <w:sz w:val="32"/>
          <w:szCs w:val="32"/>
        </w:rPr>
        <w:t>卫生健康支出</w:t>
      </w:r>
      <w:r>
        <w:rPr>
          <w:rFonts w:ascii="仿宋" w:hAnsi="仿宋" w:eastAsia="仿宋"/>
          <w:color w:val="000000" w:themeColor="text1"/>
          <w:sz w:val="32"/>
          <w:szCs w:val="32"/>
        </w:rPr>
        <w:t>51.28</w:t>
      </w:r>
      <w:r>
        <w:rPr>
          <w:rFonts w:hint="eastAsia" w:ascii="仿宋" w:hAnsi="仿宋" w:eastAsia="仿宋"/>
          <w:color w:val="000000" w:themeColor="text1"/>
          <w:sz w:val="32"/>
          <w:szCs w:val="32"/>
        </w:rPr>
        <w:t>万元，住房保障支出</w:t>
      </w:r>
      <w:r>
        <w:rPr>
          <w:rFonts w:ascii="仿宋" w:hAnsi="仿宋" w:eastAsia="仿宋"/>
          <w:color w:val="000000" w:themeColor="text1"/>
          <w:sz w:val="32"/>
          <w:szCs w:val="32"/>
        </w:rPr>
        <w:t>82.22</w:t>
      </w:r>
      <w:r>
        <w:rPr>
          <w:rFonts w:hint="eastAsia" w:ascii="仿宋" w:hAnsi="仿宋" w:eastAsia="仿宋"/>
          <w:color w:val="000000" w:themeColor="text1"/>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根据预算绩效管理要求，开江县长岭镇中心小学校以“部门职责—工作活动”为依据，保障教职工的工资、遗属的生活补助、幼儿园代课教师和临时工工资按时足额发放；确保学校正常运转，全面提升学校的教育教学质量，努力办好人民满意教育。财政拨款支出主要用于保障学校正常运转，包括基本工资、津贴补贴等人员经费以及办公费、印刷费、水电费、办公设备购置等日常公用经费。</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（二）专项预算管理</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1、按规定要求履行了立项手续，可行性研究报告、概算批复文件、专家论证等相关附件资料齐全，项目预算资金科学合理。</w:t>
      </w:r>
    </w:p>
    <w:p>
      <w:pPr>
        <w:widowControl/>
        <w:adjustRightInd w:val="0"/>
        <w:snapToGrid w:val="0"/>
        <w:spacing w:line="580" w:lineRule="exact"/>
        <w:ind w:firstLine="320" w:firstLineChars="1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2、财政资金拨付到位及时。</w:t>
      </w:r>
    </w:p>
    <w:p>
      <w:pPr>
        <w:widowControl/>
        <w:adjustRightInd w:val="0"/>
        <w:snapToGrid w:val="0"/>
        <w:spacing w:line="580" w:lineRule="exact"/>
        <w:ind w:left="420" w:left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3、已建立项目管理制度并按照项目管理制度要求执行。</w:t>
      </w:r>
    </w:p>
    <w:p>
      <w:pPr>
        <w:widowControl/>
        <w:adjustRightInd w:val="0"/>
        <w:snapToGrid w:val="0"/>
        <w:spacing w:line="580" w:lineRule="exact"/>
        <w:ind w:left="420" w:left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4、按期保质保量完成建设。</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（三）结果应用情况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通过绩效评价，我们认为，2020年度部门预算具有明确的用途和目标，制定了详细的执行计划，资金到位及时并严格按照财政有关规定使用。截止到目前学校保障了教职工的工资福利、遗属的生活补助、幼儿园代课教师和临时工工资按时足额发放；确保学校正常运转，全面提升学校的教育教学质量。推进了教育信息化建设，开展了大量的、具体的工作，圆满完成了各项教育教学任务，取得了可喜的成绩。</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本年度保障了教职工的工资福利、遗属的生活补助、幼儿园代课教师和临时工工资按时足额发放；确保学校正常运转，全面提升学校的教育教学质量；关心关爱留守学生，做好了对贫困小学生和学前贫困幼儿生资助工作。对学校校舍和设备进行维修维护，使设施完好率达100％。加强校园文化和党风廉政建设。推进了教育信息化建设，圆满完成了各项教育教学任务，取得了可喜的成绩。</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（1）年度目标规划的大而散，制定年度目标时不精准，缺乏时效性、可操作性。</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（2）年初预算编制和执行不精细。学校在年初预算编制时，有些科目欠规范，在执行预算的过程中欠到位，责任分配不明确。</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（3）学校监督措施及评价体系还不尽完善，建立健全内部控制监督机制不科学。</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（4）评价指标体系不完善，实际操作有难度。</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（5）专业人员的业务素养有待提高，对业务人员培训不够。</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一是完善相关制度，推进制度落实。依据相关法律、法规及管理办法，建立分级分类、使用高效、便于操作的实施细则及业务规范，制定绩效问责制度、公开制度。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二是科学组织预算绩效评价工作，完善预算绩效管理指标数据库。</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三是引入第三方评价机制，形成内外部评价相互补充，财政部门、预算单位和受托第三方评价机构各司其职、密切配合的机制，提高评价结果的权威性和公正性。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四是组织业务培训，提高业务水平和能力，培养一批专业人才队伍。</w:t>
      </w:r>
    </w:p>
    <w:p>
      <w:pPr>
        <w:widowControl/>
        <w:jc w:val="left"/>
        <w:rPr>
          <w:rStyle w:val="24"/>
          <w:rFonts w:ascii="黑体" w:hAnsi="黑体" w:eastAsia="黑体"/>
          <w:b w:val="0"/>
        </w:rPr>
      </w:pPr>
    </w:p>
    <w:p>
      <w:pPr>
        <w:spacing w:line="600" w:lineRule="exact"/>
        <w:jc w:val="center"/>
        <w:outlineLvl w:val="0"/>
        <w:rPr>
          <w:rStyle w:val="24"/>
          <w:rFonts w:ascii="黑体" w:hAnsi="黑体" w:eastAsia="黑体"/>
          <w:b w:val="0"/>
        </w:rPr>
      </w:pPr>
    </w:p>
    <w:bookmarkEnd w:id="59"/>
    <w:p>
      <w:pPr>
        <w:spacing w:line="600" w:lineRule="exact"/>
        <w:jc w:val="center"/>
        <w:outlineLvl w:val="0"/>
        <w:rPr>
          <w:rStyle w:val="30"/>
          <w:rFonts w:ascii="黑体" w:hAnsi="黑体" w:eastAsia="黑体"/>
          <w:b w:val="0"/>
        </w:rPr>
      </w:pPr>
      <w:bookmarkStart w:id="61" w:name="_Toc15396618"/>
      <w:r>
        <w:rPr>
          <w:rFonts w:hint="eastAsia" w:ascii="黑体" w:hAnsi="黑体" w:eastAsia="黑体"/>
          <w:color w:val="000000"/>
          <w:sz w:val="44"/>
          <w:szCs w:val="44"/>
        </w:rPr>
        <w:t>第</w:t>
      </w:r>
      <w:r>
        <w:rPr>
          <w:rStyle w:val="30"/>
          <w:rFonts w:hint="eastAsia" w:ascii="黑体" w:hAnsi="黑体" w:eastAsia="黑体"/>
          <w:b w:val="0"/>
        </w:rPr>
        <w:t>五部分</w:t>
      </w:r>
      <w:r>
        <w:rPr>
          <w:rStyle w:val="30"/>
          <w:rFonts w:ascii="黑体" w:hAnsi="黑体" w:eastAsia="黑体"/>
          <w:b w:val="0"/>
        </w:rPr>
        <w:t xml:space="preserve"> </w:t>
      </w:r>
      <w:r>
        <w:rPr>
          <w:rStyle w:val="30"/>
          <w:rFonts w:hint="eastAsia" w:ascii="黑体" w:hAnsi="黑体" w:eastAsia="黑体"/>
          <w:b w:val="0"/>
        </w:rPr>
        <w:t>附表</w:t>
      </w:r>
      <w:bookmarkEnd w:id="61"/>
    </w:p>
    <w:p>
      <w:pPr>
        <w:spacing w:line="600" w:lineRule="exact"/>
        <w:jc w:val="center"/>
        <w:outlineLvl w:val="0"/>
        <w:rPr>
          <w:rFonts w:ascii="仿宋" w:hAnsi="仿宋" w:eastAsia="仿宋"/>
          <w:b/>
          <w:color w:val="000000"/>
          <w:sz w:val="44"/>
          <w:szCs w:val="44"/>
        </w:rPr>
      </w:pPr>
    </w:p>
    <w:p>
      <w:pPr>
        <w:pStyle w:val="3"/>
        <w:spacing w:line="300" w:lineRule="exact"/>
        <w:rPr>
          <w:rFonts w:ascii="仿宋" w:hAnsi="仿宋" w:eastAsia="仿宋"/>
          <w:color w:val="000000"/>
        </w:rPr>
      </w:pPr>
      <w:bookmarkStart w:id="62" w:name="_Toc15396619"/>
      <w:r>
        <w:rPr>
          <w:rFonts w:hint="eastAsia" w:ascii="仿宋" w:hAnsi="仿宋" w:eastAsia="仿宋"/>
          <w:b w:val="0"/>
          <w:color w:val="000000"/>
        </w:rPr>
        <w:t>一、收</w:t>
      </w:r>
      <w:r>
        <w:rPr>
          <w:rStyle w:val="31"/>
          <w:rFonts w:hint="eastAsia" w:ascii="仿宋" w:hAnsi="仿宋" w:eastAsia="仿宋"/>
          <w:b w:val="0"/>
          <w:bCs w:val="0"/>
        </w:rPr>
        <w:t>入支出决算总表</w:t>
      </w:r>
      <w:bookmarkEnd w:id="62"/>
    </w:p>
    <w:p>
      <w:pPr>
        <w:pStyle w:val="3"/>
        <w:spacing w:line="300" w:lineRule="exact"/>
        <w:rPr>
          <w:rFonts w:ascii="仿宋" w:hAnsi="仿宋" w:eastAsia="仿宋"/>
          <w:color w:val="000000"/>
        </w:rPr>
      </w:pPr>
      <w:bookmarkStart w:id="63" w:name="_Toc15396620"/>
      <w:r>
        <w:rPr>
          <w:rFonts w:hint="eastAsia" w:ascii="仿宋" w:hAnsi="仿宋" w:eastAsia="仿宋"/>
          <w:b w:val="0"/>
          <w:color w:val="000000"/>
        </w:rPr>
        <w:t>二、收</w:t>
      </w:r>
      <w:r>
        <w:rPr>
          <w:rStyle w:val="31"/>
          <w:rFonts w:hint="eastAsia" w:ascii="仿宋" w:hAnsi="仿宋" w:eastAsia="仿宋"/>
          <w:b w:val="0"/>
          <w:bCs w:val="0"/>
        </w:rPr>
        <w:t>入决算表</w:t>
      </w:r>
      <w:bookmarkEnd w:id="63"/>
    </w:p>
    <w:p>
      <w:pPr>
        <w:pStyle w:val="3"/>
        <w:spacing w:line="300" w:lineRule="exact"/>
        <w:rPr>
          <w:rFonts w:ascii="仿宋" w:hAnsi="仿宋" w:eastAsia="仿宋"/>
          <w:color w:val="000000"/>
        </w:rPr>
      </w:pPr>
      <w:bookmarkStart w:id="64" w:name="_Toc15396621"/>
      <w:r>
        <w:rPr>
          <w:rStyle w:val="31"/>
          <w:rFonts w:hint="eastAsia" w:ascii="仿宋" w:hAnsi="仿宋" w:eastAsia="仿宋"/>
          <w:b w:val="0"/>
          <w:bCs w:val="0"/>
        </w:rPr>
        <w:t>三、</w:t>
      </w:r>
      <w:r>
        <w:rPr>
          <w:rFonts w:hint="eastAsia" w:ascii="仿宋" w:hAnsi="仿宋" w:eastAsia="仿宋"/>
          <w:b w:val="0"/>
          <w:color w:val="000000"/>
        </w:rPr>
        <w:t>支</w:t>
      </w:r>
      <w:r>
        <w:rPr>
          <w:rStyle w:val="31"/>
          <w:rFonts w:hint="eastAsia" w:ascii="仿宋" w:hAnsi="仿宋" w:eastAsia="仿宋"/>
          <w:b w:val="0"/>
          <w:bCs w:val="0"/>
        </w:rPr>
        <w:t>出决算表</w:t>
      </w:r>
      <w:bookmarkEnd w:id="64"/>
    </w:p>
    <w:p>
      <w:pPr>
        <w:pStyle w:val="3"/>
        <w:spacing w:line="300" w:lineRule="exact"/>
        <w:rPr>
          <w:rFonts w:ascii="仿宋" w:hAnsi="仿宋" w:eastAsia="仿宋"/>
          <w:b w:val="0"/>
          <w:color w:val="000000"/>
        </w:rPr>
      </w:pPr>
      <w:bookmarkStart w:id="65" w:name="_Toc15396622"/>
      <w:r>
        <w:rPr>
          <w:rStyle w:val="31"/>
          <w:rFonts w:hint="eastAsia" w:ascii="仿宋" w:hAnsi="仿宋" w:eastAsia="仿宋"/>
          <w:b w:val="0"/>
          <w:bCs w:val="0"/>
        </w:rPr>
        <w:t>四、</w:t>
      </w:r>
      <w:r>
        <w:rPr>
          <w:rFonts w:hint="eastAsia" w:ascii="仿宋" w:hAnsi="仿宋" w:eastAsia="仿宋"/>
          <w:b w:val="0"/>
          <w:color w:val="000000"/>
        </w:rPr>
        <w:t>财</w:t>
      </w:r>
      <w:r>
        <w:rPr>
          <w:rStyle w:val="31"/>
          <w:rFonts w:hint="eastAsia" w:ascii="仿宋" w:hAnsi="仿宋" w:eastAsia="仿宋"/>
          <w:b w:val="0"/>
          <w:bCs w:val="0"/>
        </w:rPr>
        <w:t>政拨款收入支出决算总表</w:t>
      </w:r>
      <w:bookmarkEnd w:id="65"/>
    </w:p>
    <w:p>
      <w:pPr>
        <w:pStyle w:val="3"/>
        <w:spacing w:line="300" w:lineRule="exact"/>
        <w:rPr>
          <w:rStyle w:val="31"/>
          <w:rFonts w:ascii="仿宋" w:hAnsi="仿宋" w:eastAsia="仿宋"/>
          <w:b w:val="0"/>
          <w:bCs w:val="0"/>
        </w:rPr>
      </w:pPr>
      <w:bookmarkStart w:id="66" w:name="_Toc15396623"/>
      <w:r>
        <w:rPr>
          <w:rStyle w:val="31"/>
          <w:rFonts w:hint="eastAsia" w:ascii="仿宋" w:hAnsi="仿宋" w:eastAsia="仿宋"/>
          <w:b w:val="0"/>
          <w:bCs w:val="0"/>
        </w:rPr>
        <w:t>五、</w:t>
      </w:r>
      <w:r>
        <w:rPr>
          <w:rFonts w:hint="eastAsia" w:ascii="仿宋" w:hAnsi="仿宋" w:eastAsia="仿宋"/>
          <w:b w:val="0"/>
          <w:color w:val="000000"/>
        </w:rPr>
        <w:t>财</w:t>
      </w:r>
      <w:r>
        <w:rPr>
          <w:rStyle w:val="31"/>
          <w:rFonts w:hint="eastAsia" w:ascii="仿宋" w:hAnsi="仿宋" w:eastAsia="仿宋"/>
          <w:b w:val="0"/>
          <w:bCs w:val="0"/>
        </w:rPr>
        <w:t>政拨款支出决算明细表</w:t>
      </w:r>
      <w:bookmarkEnd w:id="66"/>
      <w:bookmarkStart w:id="67" w:name="_Toc15396624"/>
    </w:p>
    <w:p>
      <w:pPr>
        <w:pStyle w:val="3"/>
        <w:spacing w:line="300" w:lineRule="exact"/>
        <w:rPr>
          <w:rFonts w:ascii="仿宋" w:hAnsi="仿宋" w:eastAsia="仿宋"/>
          <w:color w:val="000000"/>
        </w:rPr>
      </w:pPr>
      <w:r>
        <w:rPr>
          <w:rStyle w:val="31"/>
          <w:rFonts w:hint="eastAsia" w:ascii="仿宋" w:hAnsi="仿宋" w:eastAsia="仿宋"/>
          <w:b w:val="0"/>
          <w:bCs w:val="0"/>
        </w:rPr>
        <w:t>六、</w:t>
      </w:r>
      <w:r>
        <w:rPr>
          <w:rFonts w:hint="eastAsia" w:ascii="仿宋" w:hAnsi="仿宋" w:eastAsia="仿宋"/>
          <w:b w:val="0"/>
          <w:color w:val="000000"/>
        </w:rPr>
        <w:t>一</w:t>
      </w:r>
      <w:r>
        <w:rPr>
          <w:rStyle w:val="31"/>
          <w:rFonts w:hint="eastAsia" w:ascii="仿宋" w:hAnsi="仿宋" w:eastAsia="仿宋"/>
          <w:b w:val="0"/>
          <w:bCs w:val="0"/>
        </w:rPr>
        <w:t>般公共预算财政拨款支出决算表</w:t>
      </w:r>
      <w:bookmarkEnd w:id="67"/>
    </w:p>
    <w:p>
      <w:pPr>
        <w:pStyle w:val="3"/>
        <w:spacing w:line="300" w:lineRule="exact"/>
        <w:rPr>
          <w:rFonts w:ascii="仿宋" w:hAnsi="仿宋" w:eastAsia="仿宋"/>
          <w:color w:val="000000"/>
        </w:rPr>
      </w:pPr>
      <w:bookmarkStart w:id="68" w:name="_Toc15396625"/>
      <w:r>
        <w:rPr>
          <w:rStyle w:val="31"/>
          <w:rFonts w:hint="eastAsia" w:ascii="仿宋" w:hAnsi="仿宋" w:eastAsia="仿宋"/>
          <w:b w:val="0"/>
          <w:bCs w:val="0"/>
        </w:rPr>
        <w:t>七、</w:t>
      </w:r>
      <w:r>
        <w:rPr>
          <w:rFonts w:hint="eastAsia" w:ascii="仿宋" w:hAnsi="仿宋" w:eastAsia="仿宋"/>
          <w:b w:val="0"/>
          <w:color w:val="000000"/>
        </w:rPr>
        <w:t>一</w:t>
      </w:r>
      <w:r>
        <w:rPr>
          <w:rStyle w:val="31"/>
          <w:rFonts w:hint="eastAsia" w:ascii="仿宋" w:hAnsi="仿宋" w:eastAsia="仿宋"/>
          <w:b w:val="0"/>
          <w:bCs w:val="0"/>
        </w:rPr>
        <w:t>般公共预算财政拨款支出决算明细表</w:t>
      </w:r>
      <w:bookmarkEnd w:id="68"/>
    </w:p>
    <w:p>
      <w:pPr>
        <w:pStyle w:val="3"/>
        <w:spacing w:line="300" w:lineRule="exact"/>
        <w:rPr>
          <w:rFonts w:ascii="仿宋" w:hAnsi="仿宋" w:eastAsia="仿宋"/>
          <w:color w:val="000000"/>
        </w:rPr>
      </w:pPr>
      <w:bookmarkStart w:id="69" w:name="_Toc15396626"/>
      <w:r>
        <w:rPr>
          <w:rStyle w:val="31"/>
          <w:rFonts w:hint="eastAsia" w:ascii="仿宋" w:hAnsi="仿宋" w:eastAsia="仿宋"/>
          <w:b w:val="0"/>
          <w:bCs w:val="0"/>
        </w:rPr>
        <w:t>八、</w:t>
      </w:r>
      <w:r>
        <w:rPr>
          <w:rFonts w:hint="eastAsia" w:ascii="仿宋" w:hAnsi="仿宋" w:eastAsia="仿宋"/>
          <w:b w:val="0"/>
          <w:color w:val="000000"/>
        </w:rPr>
        <w:t>一</w:t>
      </w:r>
      <w:r>
        <w:rPr>
          <w:rStyle w:val="31"/>
          <w:rFonts w:hint="eastAsia" w:ascii="仿宋" w:hAnsi="仿宋" w:eastAsia="仿宋"/>
          <w:b w:val="0"/>
          <w:bCs w:val="0"/>
        </w:rPr>
        <w:t>般公共预算财政拨款基本支出决算表</w:t>
      </w:r>
      <w:bookmarkEnd w:id="69"/>
    </w:p>
    <w:p>
      <w:pPr>
        <w:pStyle w:val="3"/>
        <w:spacing w:line="300" w:lineRule="exact"/>
        <w:rPr>
          <w:rFonts w:ascii="仿宋" w:hAnsi="仿宋" w:eastAsia="仿宋"/>
          <w:color w:val="000000"/>
        </w:rPr>
      </w:pPr>
      <w:bookmarkStart w:id="70" w:name="_Toc15396627"/>
      <w:r>
        <w:rPr>
          <w:rStyle w:val="31"/>
          <w:rFonts w:hint="eastAsia" w:ascii="仿宋" w:hAnsi="仿宋" w:eastAsia="仿宋"/>
          <w:b w:val="0"/>
          <w:bCs w:val="0"/>
        </w:rPr>
        <w:t>九、</w:t>
      </w:r>
      <w:r>
        <w:rPr>
          <w:rFonts w:hint="eastAsia" w:ascii="仿宋" w:hAnsi="仿宋" w:eastAsia="仿宋"/>
          <w:b w:val="0"/>
          <w:color w:val="000000"/>
        </w:rPr>
        <w:t>一</w:t>
      </w:r>
      <w:r>
        <w:rPr>
          <w:rStyle w:val="31"/>
          <w:rFonts w:hint="eastAsia" w:ascii="仿宋" w:hAnsi="仿宋" w:eastAsia="仿宋"/>
          <w:b w:val="0"/>
          <w:bCs w:val="0"/>
        </w:rPr>
        <w:t>般公共预算财政拨款项目支出决算表</w:t>
      </w:r>
      <w:bookmarkEnd w:id="70"/>
    </w:p>
    <w:p>
      <w:pPr>
        <w:pStyle w:val="3"/>
        <w:spacing w:line="300" w:lineRule="exact"/>
        <w:rPr>
          <w:rFonts w:ascii="仿宋" w:hAnsi="仿宋" w:eastAsia="仿宋"/>
          <w:color w:val="000000"/>
        </w:rPr>
      </w:pPr>
      <w:bookmarkStart w:id="71" w:name="_Toc15396628"/>
      <w:r>
        <w:rPr>
          <w:rStyle w:val="31"/>
          <w:rFonts w:hint="eastAsia" w:ascii="仿宋" w:hAnsi="仿宋" w:eastAsia="仿宋"/>
          <w:b w:val="0"/>
          <w:bCs w:val="0"/>
        </w:rPr>
        <w:t>十、</w:t>
      </w:r>
      <w:r>
        <w:rPr>
          <w:rFonts w:hint="eastAsia" w:ascii="仿宋" w:hAnsi="仿宋" w:eastAsia="仿宋"/>
          <w:b w:val="0"/>
          <w:color w:val="000000"/>
        </w:rPr>
        <w:t>一</w:t>
      </w:r>
      <w:r>
        <w:rPr>
          <w:rStyle w:val="31"/>
          <w:rFonts w:hint="eastAsia" w:ascii="仿宋" w:hAnsi="仿宋" w:eastAsia="仿宋"/>
          <w:b w:val="0"/>
          <w:bCs w:val="0"/>
        </w:rPr>
        <w:t>般公共预算财政拨款“三公”经费支出决算表</w:t>
      </w:r>
      <w:bookmarkEnd w:id="71"/>
    </w:p>
    <w:p>
      <w:pPr>
        <w:pStyle w:val="3"/>
        <w:spacing w:line="300" w:lineRule="exact"/>
        <w:rPr>
          <w:rFonts w:ascii="仿宋" w:hAnsi="仿宋" w:eastAsia="仿宋"/>
          <w:color w:val="000000"/>
        </w:rPr>
      </w:pPr>
      <w:bookmarkStart w:id="72" w:name="_Toc15396629"/>
      <w:r>
        <w:rPr>
          <w:rStyle w:val="31"/>
          <w:rFonts w:hint="eastAsia" w:ascii="仿宋" w:hAnsi="仿宋" w:eastAsia="仿宋"/>
          <w:b w:val="0"/>
          <w:bCs w:val="0"/>
        </w:rPr>
        <w:t>十一、</w:t>
      </w:r>
      <w:r>
        <w:rPr>
          <w:rFonts w:hint="eastAsia" w:ascii="仿宋" w:hAnsi="仿宋" w:eastAsia="仿宋"/>
          <w:b w:val="0"/>
          <w:color w:val="000000"/>
        </w:rPr>
        <w:t>政</w:t>
      </w:r>
      <w:r>
        <w:rPr>
          <w:rStyle w:val="31"/>
          <w:rFonts w:hint="eastAsia" w:ascii="仿宋" w:hAnsi="仿宋" w:eastAsia="仿宋"/>
          <w:b w:val="0"/>
          <w:bCs w:val="0"/>
        </w:rPr>
        <w:t>府性基金预算财政拨款收入支出决算表</w:t>
      </w:r>
      <w:bookmarkEnd w:id="72"/>
    </w:p>
    <w:p>
      <w:pPr>
        <w:pStyle w:val="3"/>
        <w:spacing w:line="300" w:lineRule="exact"/>
        <w:rPr>
          <w:rFonts w:ascii="仿宋" w:hAnsi="仿宋" w:eastAsia="仿宋"/>
          <w:color w:val="000000"/>
        </w:rPr>
      </w:pPr>
      <w:bookmarkStart w:id="73" w:name="_Toc15396630"/>
      <w:r>
        <w:rPr>
          <w:rStyle w:val="31"/>
          <w:rFonts w:hint="eastAsia" w:ascii="仿宋" w:hAnsi="仿宋" w:eastAsia="仿宋"/>
          <w:b w:val="0"/>
          <w:bCs w:val="0"/>
        </w:rPr>
        <w:t>十二、</w:t>
      </w:r>
      <w:r>
        <w:rPr>
          <w:rFonts w:hint="eastAsia" w:ascii="仿宋" w:hAnsi="仿宋" w:eastAsia="仿宋"/>
          <w:b w:val="0"/>
          <w:color w:val="000000"/>
        </w:rPr>
        <w:t>政</w:t>
      </w:r>
      <w:r>
        <w:rPr>
          <w:rStyle w:val="31"/>
          <w:rFonts w:hint="eastAsia" w:ascii="仿宋" w:hAnsi="仿宋" w:eastAsia="仿宋"/>
          <w:b w:val="0"/>
          <w:bCs w:val="0"/>
        </w:rPr>
        <w:t>府性基金预算财政拨款“三公”经费支出决算表</w:t>
      </w:r>
      <w:bookmarkEnd w:id="73"/>
    </w:p>
    <w:p>
      <w:pPr>
        <w:pStyle w:val="3"/>
        <w:spacing w:line="300" w:lineRule="exact"/>
        <w:rPr>
          <w:rStyle w:val="31"/>
          <w:rFonts w:ascii="仿宋" w:hAnsi="仿宋" w:eastAsia="仿宋"/>
          <w:b w:val="0"/>
          <w:bCs w:val="0"/>
        </w:rPr>
      </w:pPr>
      <w:bookmarkStart w:id="74" w:name="_Toc15396631"/>
      <w:r>
        <w:rPr>
          <w:rStyle w:val="31"/>
          <w:rFonts w:hint="eastAsia" w:ascii="仿宋" w:hAnsi="仿宋" w:eastAsia="仿宋"/>
          <w:b w:val="0"/>
          <w:bCs w:val="0"/>
        </w:rPr>
        <w:t>十三、</w:t>
      </w:r>
      <w:r>
        <w:rPr>
          <w:rFonts w:hint="eastAsia" w:ascii="仿宋" w:hAnsi="仿宋" w:eastAsia="仿宋"/>
          <w:b w:val="0"/>
          <w:color w:val="000000"/>
        </w:rPr>
        <w:t>国</w:t>
      </w:r>
      <w:r>
        <w:rPr>
          <w:rStyle w:val="31"/>
          <w:rFonts w:hint="eastAsia" w:ascii="仿宋" w:hAnsi="仿宋" w:eastAsia="仿宋"/>
          <w:b w:val="0"/>
          <w:bCs w:val="0"/>
        </w:rPr>
        <w:t>有资本经营预算财政拨款收入支出决算表</w:t>
      </w:r>
      <w:bookmarkEnd w:id="74"/>
    </w:p>
    <w:p>
      <w:pPr>
        <w:pStyle w:val="3"/>
        <w:spacing w:line="300" w:lineRule="exact"/>
        <w:rPr>
          <w:rStyle w:val="31"/>
          <w:rFonts w:ascii="仿宋" w:hAnsi="仿宋" w:eastAsia="仿宋"/>
          <w:b w:val="0"/>
          <w:bCs w:val="0"/>
        </w:rPr>
      </w:pPr>
      <w:r>
        <w:rPr>
          <w:rStyle w:val="31"/>
          <w:rFonts w:hint="eastAsia" w:ascii="仿宋" w:hAnsi="仿宋" w:eastAsia="仿宋"/>
          <w:b w:val="0"/>
          <w:bCs w:val="0"/>
        </w:rPr>
        <w:t>十四、</w:t>
      </w:r>
      <w:r>
        <w:rPr>
          <w:rFonts w:hint="eastAsia" w:ascii="仿宋" w:hAnsi="仿宋" w:eastAsia="仿宋"/>
          <w:b w:val="0"/>
          <w:color w:val="000000"/>
        </w:rPr>
        <w:t>国</w:t>
      </w:r>
      <w:r>
        <w:rPr>
          <w:rStyle w:val="31"/>
          <w:rFonts w:hint="eastAsia" w:ascii="仿宋" w:hAnsi="仿宋" w:eastAsia="仿宋"/>
          <w:b w:val="0"/>
          <w:bCs w:val="0"/>
        </w:rPr>
        <w:t>有资本经营预算财政拨款支出决算表</w:t>
      </w:r>
    </w:p>
    <w:p>
      <w:pPr>
        <w:pStyle w:val="3"/>
        <w:spacing w:line="300" w:lineRule="exact"/>
        <w:rPr>
          <w:rStyle w:val="31"/>
          <w:rFonts w:ascii="仿宋" w:hAnsi="仿宋" w:eastAsia="仿宋"/>
          <w:b w:val="0"/>
          <w:bCs w:val="0"/>
        </w:rPr>
      </w:pPr>
    </w:p>
    <w:p>
      <w:pPr>
        <w:pStyle w:val="3"/>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A263A9E"/>
    <w:multiLevelType w:val="singleLevel"/>
    <w:tmpl w:val="2A263A9E"/>
    <w:lvl w:ilvl="0" w:tentative="0">
      <w:start w:val="1"/>
      <w:numFmt w:val="decimal"/>
      <w:lvlText w:val="%1."/>
      <w:lvlJc w:val="left"/>
      <w:pPr>
        <w:tabs>
          <w:tab w:val="left" w:pos="312"/>
        </w:tabs>
      </w:pPr>
    </w:lvl>
  </w:abstractNum>
  <w:abstractNum w:abstractNumId="3">
    <w:nsid w:val="3C38F53C"/>
    <w:multiLevelType w:val="singleLevel"/>
    <w:tmpl w:val="3C38F53C"/>
    <w:lvl w:ilvl="0" w:tentative="0">
      <w:start w:val="2"/>
      <w:numFmt w:val="chineseCounting"/>
      <w:suff w:val="nothing"/>
      <w:lvlText w:val="（%1）"/>
      <w:lvlJc w:val="left"/>
      <w:rPr>
        <w:rFonts w:hint="eastAsia"/>
      </w:rPr>
    </w:lvl>
  </w:abstractNum>
  <w:abstractNum w:abstractNumId="4">
    <w:nsid w:val="4799B972"/>
    <w:multiLevelType w:val="singleLevel"/>
    <w:tmpl w:val="4799B972"/>
    <w:lvl w:ilvl="0" w:tentative="0">
      <w:start w:val="2"/>
      <w:numFmt w:val="chineseCounting"/>
      <w:suff w:val="nothing"/>
      <w:lvlText w:val="（%1）"/>
      <w:lvlJc w:val="left"/>
      <w:rPr>
        <w:rFonts w:hint="eastAsia"/>
      </w:rPr>
    </w:lvl>
  </w:abstractNum>
  <w:abstractNum w:abstractNumId="5">
    <w:nsid w:val="766B2DAE"/>
    <w:multiLevelType w:val="multilevel"/>
    <w:tmpl w:val="766B2DAE"/>
    <w:lvl w:ilvl="0" w:tentative="0">
      <w:start w:val="9"/>
      <w:numFmt w:val="japaneseCounting"/>
      <w:lvlText w:val="%1、"/>
      <w:lvlJc w:val="left"/>
      <w:pPr>
        <w:ind w:left="720" w:hanging="720"/>
      </w:pPr>
      <w:rPr>
        <w:rFonts w:hint="default" w:ascii="仿宋_GB2312" w:hAnsi="Times New Roman" w:eastAsia="仿宋_GB2312" w:cs="Times New Roman"/>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4054"/>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958F8"/>
    <w:rsid w:val="002A31DE"/>
    <w:rsid w:val="002B2613"/>
    <w:rsid w:val="002C610A"/>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405C"/>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52C2"/>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B597D"/>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6575F"/>
    <w:rsid w:val="00871F71"/>
    <w:rsid w:val="00872FD8"/>
    <w:rsid w:val="0088550A"/>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99E"/>
    <w:rsid w:val="00BD0E25"/>
    <w:rsid w:val="00BE4508"/>
    <w:rsid w:val="00BF5BD6"/>
    <w:rsid w:val="00C02C74"/>
    <w:rsid w:val="00C03E31"/>
    <w:rsid w:val="00C30E69"/>
    <w:rsid w:val="00C33E72"/>
    <w:rsid w:val="00C354B2"/>
    <w:rsid w:val="00C35554"/>
    <w:rsid w:val="00C42709"/>
    <w:rsid w:val="00C533CC"/>
    <w:rsid w:val="00C5751C"/>
    <w:rsid w:val="00C61BFC"/>
    <w:rsid w:val="00C62B85"/>
    <w:rsid w:val="00C65438"/>
    <w:rsid w:val="00C65EFE"/>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6D22"/>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387"/>
    <w:rsid w:val="00F1361C"/>
    <w:rsid w:val="00F156F0"/>
    <w:rsid w:val="00F160C7"/>
    <w:rsid w:val="00F2408F"/>
    <w:rsid w:val="00F240E9"/>
    <w:rsid w:val="00F36D8F"/>
    <w:rsid w:val="00F417B1"/>
    <w:rsid w:val="00F45853"/>
    <w:rsid w:val="00F602DF"/>
    <w:rsid w:val="00F7011F"/>
    <w:rsid w:val="00F754A1"/>
    <w:rsid w:val="00F81FD9"/>
    <w:rsid w:val="00F841AA"/>
    <w:rsid w:val="00F84A94"/>
    <w:rsid w:val="00F87E96"/>
    <w:rsid w:val="00F930F5"/>
    <w:rsid w:val="00FA23E8"/>
    <w:rsid w:val="00FD3CC1"/>
    <w:rsid w:val="00FF1E02"/>
    <w:rsid w:val="00FF30B4"/>
    <w:rsid w:val="10C055FF"/>
    <w:rsid w:val="16010621"/>
    <w:rsid w:val="16BB723D"/>
    <w:rsid w:val="172D4652"/>
    <w:rsid w:val="181F7C8D"/>
    <w:rsid w:val="186B7C60"/>
    <w:rsid w:val="192E4116"/>
    <w:rsid w:val="1AE07CB8"/>
    <w:rsid w:val="240371BF"/>
    <w:rsid w:val="29FD04D3"/>
    <w:rsid w:val="2BF76A17"/>
    <w:rsid w:val="319F7F4E"/>
    <w:rsid w:val="35D379F0"/>
    <w:rsid w:val="37F727B6"/>
    <w:rsid w:val="39521CC5"/>
    <w:rsid w:val="3AF964E4"/>
    <w:rsid w:val="3F075347"/>
    <w:rsid w:val="3F677CEF"/>
    <w:rsid w:val="469648FA"/>
    <w:rsid w:val="4E9444C0"/>
    <w:rsid w:val="4ECE2238"/>
    <w:rsid w:val="53A32BFC"/>
    <w:rsid w:val="562F1E12"/>
    <w:rsid w:val="598C01CC"/>
    <w:rsid w:val="5CED5735"/>
    <w:rsid w:val="5F024817"/>
    <w:rsid w:val="657B535D"/>
    <w:rsid w:val="67751249"/>
    <w:rsid w:val="6AB12943"/>
    <w:rsid w:val="6B494389"/>
    <w:rsid w:val="6D67157F"/>
    <w:rsid w:val="71A81D05"/>
    <w:rsid w:val="72734D90"/>
    <w:rsid w:val="792937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qFormat/>
    <w:uiPriority w:val="9"/>
    <w:rPr>
      <w:rFonts w:ascii="Times New Roman" w:hAnsi="Times New Roman"/>
      <w:b/>
      <w:bCs/>
      <w:kern w:val="44"/>
      <w:sz w:val="44"/>
      <w:szCs w:val="44"/>
    </w:rPr>
  </w:style>
  <w:style w:type="character" w:customStyle="1" w:styleId="25">
    <w:name w:val="标题 2 Char"/>
    <w:basedOn w:val="1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标题 1 字符"/>
    <w:basedOn w:val="13"/>
    <w:link w:val="2"/>
    <w:qFormat/>
    <w:locked/>
    <w:uiPriority w:val="9"/>
    <w:rPr>
      <w:rFonts w:ascii="Times New Roman" w:hAnsi="Times New Roman" w:cs="Times New Roman"/>
      <w:b/>
      <w:bCs/>
      <w:kern w:val="44"/>
      <w:sz w:val="44"/>
      <w:szCs w:val="44"/>
    </w:rPr>
  </w:style>
  <w:style w:type="character" w:customStyle="1" w:styleId="31">
    <w:name w:val="标题 2 字符"/>
    <w:basedOn w:val="13"/>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Workbook1.xls"/><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Sheet1!$C$2</c:f>
              <c:strCache>
                <c:ptCount val="1"/>
                <c:pt idx="0">
                  <c:v>收入</c:v>
                </c:pt>
              </c:strCache>
            </c:strRef>
          </c:tx>
          <c:spPr>
            <a:solidFill>
              <a:schemeClr val="accent1"/>
            </a:solidFill>
            <a:ln>
              <a:noFill/>
            </a:ln>
            <a:effectLst/>
          </c:spPr>
          <c:invertIfNegative val="0"/>
          <c:dLbls>
            <c:delete val="1"/>
          </c:dLbls>
          <c:cat>
            <c:numRef>
              <c:f>Sheet1!$B$3:$B$4</c:f>
              <c:numCache>
                <c:formatCode>General</c:formatCode>
                <c:ptCount val="2"/>
                <c:pt idx="0">
                  <c:v>2019</c:v>
                </c:pt>
                <c:pt idx="1">
                  <c:v>2020</c:v>
                </c:pt>
              </c:numCache>
            </c:numRef>
          </c:cat>
          <c:val>
            <c:numRef>
              <c:f>Sheet1!$C$3:$C$4</c:f>
              <c:numCache>
                <c:formatCode>General</c:formatCode>
                <c:ptCount val="2"/>
                <c:pt idx="0">
                  <c:v>1305</c:v>
                </c:pt>
                <c:pt idx="1">
                  <c:v>1408</c:v>
                </c:pt>
              </c:numCache>
            </c:numRef>
          </c:val>
        </c:ser>
        <c:dLbls>
          <c:showLegendKey val="0"/>
          <c:showVal val="0"/>
          <c:showCatName val="0"/>
          <c:showSerName val="0"/>
          <c:showPercent val="0"/>
          <c:showBubbleSize val="0"/>
        </c:dLbls>
        <c:gapWidth val="219"/>
        <c:overlap val="-27"/>
        <c:axId val="582184840"/>
        <c:axId val="582185496"/>
      </c:barChart>
      <c:catAx>
        <c:axId val="582184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185496"/>
        <c:crosses val="autoZero"/>
        <c:auto val="1"/>
        <c:lblAlgn val="ctr"/>
        <c:lblOffset val="100"/>
        <c:noMultiLvlLbl val="0"/>
      </c:catAx>
      <c:valAx>
        <c:axId val="582185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184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Sheet1!$C$2</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Sheet1!$B$3:$B$4</c:f>
              <c:strCache>
                <c:ptCount val="2"/>
                <c:pt idx="0">
                  <c:v>一般公共预算拨款</c:v>
                </c:pt>
                <c:pt idx="1">
                  <c:v>上年结转</c:v>
                </c:pt>
              </c:strCache>
            </c:strRef>
          </c:cat>
          <c:val>
            <c:numRef>
              <c:f>Sheet1!$C$3:$C$4</c:f>
              <c:numCache>
                <c:formatCode>General</c:formatCode>
                <c:ptCount val="2"/>
                <c:pt idx="0">
                  <c:v>1408.26</c:v>
                </c:pt>
                <c:pt idx="1">
                  <c:v>405.3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Sheet1!$C$2</c:f>
              <c:strCache>
                <c:ptCount val="1"/>
                <c:pt idx="0">
                  <c:v>支出决算结构图</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delete val="1"/>
          </c:dLbls>
          <c:cat>
            <c:strRef>
              <c:f>Sheet1!$B$3:$B$4</c:f>
              <c:strCache>
                <c:ptCount val="2"/>
                <c:pt idx="0">
                  <c:v>基本支出</c:v>
                </c:pt>
                <c:pt idx="1">
                  <c:v>项目支出</c:v>
                </c:pt>
              </c:strCache>
            </c:strRef>
          </c:cat>
          <c:val>
            <c:numRef>
              <c:f>Sheet1!$C$3:$C$4</c:f>
              <c:numCache>
                <c:formatCode>General</c:formatCode>
                <c:ptCount val="2"/>
                <c:pt idx="0">
                  <c:v>1408.26</c:v>
                </c:pt>
                <c:pt idx="1">
                  <c:v>95.07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收支结构图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Sheet1!$C$2:$C$3</c:f>
              <c:strCache>
                <c:ptCount val="1"/>
                <c:pt idx="0">
                  <c:v>2019</c:v>
                </c:pt>
              </c:strCache>
            </c:strRef>
          </c:tx>
          <c:spPr>
            <a:solidFill>
              <a:schemeClr val="accent1"/>
            </a:solidFill>
            <a:ln>
              <a:noFill/>
            </a:ln>
            <a:effectLst/>
          </c:spPr>
          <c:invertIfNegative val="0"/>
          <c:dLbls>
            <c:delete val="1"/>
          </c:dLbls>
          <c:cat>
            <c:strRef>
              <c:f>Sheet1!$B$4:$B$5</c:f>
              <c:strCache>
                <c:ptCount val="2"/>
                <c:pt idx="0">
                  <c:v>收入</c:v>
                </c:pt>
                <c:pt idx="1">
                  <c:v>支出</c:v>
                </c:pt>
              </c:strCache>
            </c:strRef>
          </c:cat>
          <c:val>
            <c:numRef>
              <c:f>Sheet1!$C$4:$C$5</c:f>
              <c:numCache>
                <c:formatCode>General</c:formatCode>
                <c:ptCount val="2"/>
                <c:pt idx="0">
                  <c:v>1305.92</c:v>
                </c:pt>
                <c:pt idx="1">
                  <c:v>1518.1</c:v>
                </c:pt>
              </c:numCache>
            </c:numRef>
          </c:val>
        </c:ser>
        <c:ser>
          <c:idx val="1"/>
          <c:order val="1"/>
          <c:tx>
            <c:strRef>
              <c:f>Sheet1!$D$2:$D$3</c:f>
              <c:strCache>
                <c:ptCount val="1"/>
                <c:pt idx="0">
                  <c:v>2020</c:v>
                </c:pt>
              </c:strCache>
            </c:strRef>
          </c:tx>
          <c:spPr>
            <a:solidFill>
              <a:schemeClr val="accent2"/>
            </a:solidFill>
            <a:ln>
              <a:noFill/>
            </a:ln>
            <a:effectLst/>
          </c:spPr>
          <c:invertIfNegative val="0"/>
          <c:dLbls>
            <c:delete val="1"/>
          </c:dLbls>
          <c:cat>
            <c:strRef>
              <c:f>Sheet1!$B$4:$B$5</c:f>
              <c:strCache>
                <c:ptCount val="2"/>
                <c:pt idx="0">
                  <c:v>收入</c:v>
                </c:pt>
                <c:pt idx="1">
                  <c:v>支出</c:v>
                </c:pt>
              </c:strCache>
            </c:strRef>
          </c:cat>
          <c:val>
            <c:numRef>
              <c:f>Sheet1!$D$4:$D$5</c:f>
              <c:numCache>
                <c:formatCode>General</c:formatCode>
                <c:ptCount val="2"/>
                <c:pt idx="0">
                  <c:v>1408.26</c:v>
                </c:pt>
                <c:pt idx="1">
                  <c:v>1503.33</c:v>
                </c:pt>
              </c:numCache>
            </c:numRef>
          </c:val>
        </c:ser>
        <c:dLbls>
          <c:showLegendKey val="0"/>
          <c:showVal val="0"/>
          <c:showCatName val="0"/>
          <c:showSerName val="0"/>
          <c:showPercent val="0"/>
          <c:showBubbleSize val="0"/>
        </c:dLbls>
        <c:gapWidth val="219"/>
        <c:overlap val="-27"/>
        <c:axId val="776509424"/>
        <c:axId val="776507128"/>
      </c:barChart>
      <c:catAx>
        <c:axId val="77650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507128"/>
        <c:crosses val="autoZero"/>
        <c:auto val="1"/>
        <c:lblAlgn val="ctr"/>
        <c:lblOffset val="100"/>
        <c:noMultiLvlLbl val="0"/>
      </c:catAx>
      <c:valAx>
        <c:axId val="776507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509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一般公共预算财政拨款支出变动情况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Sheet1!$C$2:$C$3</c:f>
              <c:strCache>
                <c:ptCount val="1"/>
                <c:pt idx="0">
                  <c:v>2019</c:v>
                </c:pt>
              </c:strCache>
            </c:strRef>
          </c:tx>
          <c:spPr>
            <a:solidFill>
              <a:schemeClr val="accent1"/>
            </a:solidFill>
            <a:ln>
              <a:noFill/>
            </a:ln>
            <a:effectLst/>
          </c:spPr>
          <c:invertIfNegative val="0"/>
          <c:dLbls>
            <c:delete val="1"/>
          </c:dLbls>
          <c:cat>
            <c:strRef>
              <c:f>Sheet1!$B$4</c:f>
              <c:strCache>
                <c:ptCount val="1"/>
                <c:pt idx="0">
                  <c:v>支出</c:v>
                </c:pt>
              </c:strCache>
            </c:strRef>
          </c:cat>
          <c:val>
            <c:numRef>
              <c:f>Sheet1!$C$4</c:f>
              <c:numCache>
                <c:formatCode>General</c:formatCode>
                <c:ptCount val="1"/>
                <c:pt idx="0">
                  <c:v>1518.1</c:v>
                </c:pt>
              </c:numCache>
            </c:numRef>
          </c:val>
        </c:ser>
        <c:ser>
          <c:idx val="1"/>
          <c:order val="1"/>
          <c:tx>
            <c:strRef>
              <c:f>Sheet1!$D$2:$D$3</c:f>
              <c:strCache>
                <c:ptCount val="1"/>
                <c:pt idx="0">
                  <c:v>2020</c:v>
                </c:pt>
              </c:strCache>
            </c:strRef>
          </c:tx>
          <c:spPr>
            <a:solidFill>
              <a:schemeClr val="accent2"/>
            </a:solidFill>
            <a:ln>
              <a:noFill/>
            </a:ln>
            <a:effectLst/>
          </c:spPr>
          <c:invertIfNegative val="0"/>
          <c:dLbls>
            <c:delete val="1"/>
          </c:dLbls>
          <c:cat>
            <c:strRef>
              <c:f>Sheet1!$B$4</c:f>
              <c:strCache>
                <c:ptCount val="1"/>
                <c:pt idx="0">
                  <c:v>支出</c:v>
                </c:pt>
              </c:strCache>
            </c:strRef>
          </c:cat>
          <c:val>
            <c:numRef>
              <c:f>Sheet1!$D$4</c:f>
              <c:numCache>
                <c:formatCode>General</c:formatCode>
                <c:ptCount val="1"/>
                <c:pt idx="0">
                  <c:v>1503.33</c:v>
                </c:pt>
              </c:numCache>
            </c:numRef>
          </c:val>
        </c:ser>
        <c:dLbls>
          <c:showLegendKey val="0"/>
          <c:showVal val="0"/>
          <c:showCatName val="0"/>
          <c:showSerName val="0"/>
          <c:showPercent val="0"/>
          <c:showBubbleSize val="0"/>
        </c:dLbls>
        <c:gapWidth val="219"/>
        <c:overlap val="-27"/>
        <c:axId val="776509424"/>
        <c:axId val="776507128"/>
      </c:barChart>
      <c:catAx>
        <c:axId val="77650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507128"/>
        <c:crosses val="autoZero"/>
        <c:auto val="1"/>
        <c:lblAlgn val="ctr"/>
        <c:lblOffset val="100"/>
        <c:noMultiLvlLbl val="0"/>
      </c:catAx>
      <c:valAx>
        <c:axId val="776507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509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一般公共财政预算拨款支出情况结构图</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Sheet1!$B$4:$B$7</c:f>
              <c:strCache>
                <c:ptCount val="4"/>
                <c:pt idx="0">
                  <c:v>教育支出</c:v>
                </c:pt>
                <c:pt idx="1">
                  <c:v>社会保障和就业</c:v>
                </c:pt>
                <c:pt idx="2">
                  <c:v>卫生健康支出</c:v>
                </c:pt>
                <c:pt idx="3">
                  <c:v>住房保障支出</c:v>
                </c:pt>
              </c:strCache>
            </c:strRef>
          </c:cat>
          <c:val>
            <c:numRef>
              <c:f>Sheet1!$C$4:$C$7</c:f>
              <c:numCache>
                <c:formatCode>General</c:formatCode>
                <c:ptCount val="4"/>
                <c:pt idx="0">
                  <c:v>1252.94</c:v>
                </c:pt>
                <c:pt idx="1">
                  <c:v>116.88</c:v>
                </c:pt>
                <c:pt idx="2">
                  <c:v>51.28</c:v>
                </c:pt>
                <c:pt idx="3">
                  <c:v>82.22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1262</Words>
  <Characters>7194</Characters>
  <Lines>59</Lines>
  <Paragraphs>16</Paragraphs>
  <TotalTime>3</TotalTime>
  <ScaleCrop>false</ScaleCrop>
  <LinksUpToDate>false</LinksUpToDate>
  <CharactersWithSpaces>8440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2021-10-23T13:28:00Z</cp:lastPrinted>
  <dcterms:modified xsi:type="dcterms:W3CDTF">2021-10-28T09:13:09Z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402027752DC0435BBA67D31384639A34</vt:lpwstr>
  </property>
</Properties>
</file>