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outlineLvl w:val="0"/>
        <w:rPr>
          <w:rFonts w:ascii="黑体" w:hAnsi="黑体" w:eastAsia="黑体"/>
          <w:color w:val="000000"/>
          <w:sz w:val="72"/>
          <w:szCs w:val="72"/>
        </w:rPr>
      </w:pPr>
      <w:bookmarkStart w:id="0" w:name="_Toc15396597"/>
      <w:bookmarkStart w:id="1" w:name="_Toc15396475"/>
      <w:bookmarkStart w:id="2" w:name="_Toc15377193"/>
      <w:bookmarkStart w:id="3" w:name="_Toc15377425"/>
      <w:bookmarkStart w:id="4" w:name="_Toc15378441"/>
      <w:bookmarkStart w:id="5" w:name="_Toc15396602"/>
      <w:bookmarkStart w:id="6" w:name="_Toc15377204"/>
    </w:p>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96476"/>
      <w:bookmarkStart w:id="8" w:name="_Toc15396598"/>
      <w:bookmarkStart w:id="9" w:name="_Toc15378442"/>
      <w:bookmarkStart w:id="10" w:name="_Toc15377426"/>
      <w:bookmarkStart w:id="11" w:name="_Toc15306268"/>
      <w:bookmarkStart w:id="12" w:name="_Toc15377194"/>
      <w:r>
        <w:rPr>
          <w:rFonts w:hint="eastAsia" w:ascii="方正小标宋简体" w:hAnsi="宋体" w:eastAsia="方正小标宋简体"/>
          <w:color w:val="000000"/>
          <w:sz w:val="72"/>
          <w:szCs w:val="72"/>
        </w:rPr>
        <w:t>四川省达州市开江县长田初级中学部门决算</w:t>
      </w:r>
      <w:bookmarkEnd w:id="7"/>
      <w:bookmarkEnd w:id="8"/>
      <w:bookmarkEnd w:id="9"/>
      <w:bookmarkEnd w:id="10"/>
      <w:bookmarkEnd w:id="11"/>
      <w:bookmarkEnd w:id="12"/>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8"/>
      </w:pPr>
      <w:r>
        <w:rPr>
          <w:rFonts w:hint="eastAsia"/>
        </w:rPr>
        <w:t>公开时间：202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08</w:t>
      </w:r>
      <w:r>
        <w:rPr>
          <w:rFonts w:hint="eastAsia"/>
        </w:rPr>
        <w:t>日</w:t>
      </w:r>
    </w:p>
    <w:p/>
    <w:p>
      <w:pPr>
        <w:pStyle w:val="8"/>
        <w:rPr>
          <w:rFonts w:cstheme="minorBidi"/>
        </w:rPr>
      </w:pPr>
      <w:r>
        <w:fldChar w:fldCharType="begin"/>
      </w:r>
      <w:r>
        <w:instrText xml:space="preserve"> HYPERLINK \l "_Toc15396599" </w:instrText>
      </w:r>
      <w:r>
        <w:fldChar w:fldCharType="separate"/>
      </w:r>
      <w:r>
        <w:rPr>
          <w:rStyle w:val="13"/>
          <w:rFonts w:hint="eastAsia"/>
        </w:rPr>
        <w:t>第一部分部门概况</w:t>
      </w:r>
      <w:r>
        <w:tab/>
      </w:r>
      <w:r>
        <w:rPr>
          <w:rFonts w:hint="eastAsia"/>
        </w:rPr>
        <w:t>4</w:t>
      </w:r>
      <w:r>
        <w:rPr>
          <w:rFonts w:hint="eastAsia"/>
        </w:rPr>
        <w:fldChar w:fldCharType="end"/>
      </w:r>
    </w:p>
    <w:p>
      <w:pPr>
        <w:pStyle w:val="9"/>
        <w:rPr>
          <w:rFonts w:cstheme="minorBidi"/>
        </w:rPr>
      </w:pPr>
      <w:r>
        <w:fldChar w:fldCharType="begin"/>
      </w:r>
      <w:r>
        <w:instrText xml:space="preserve"> HYPERLINK \l "_Toc15396600" </w:instrText>
      </w:r>
      <w:r>
        <w:fldChar w:fldCharType="separate"/>
      </w:r>
      <w:r>
        <w:rPr>
          <w:rStyle w:val="13"/>
          <w:rFonts w:hint="eastAsia"/>
        </w:rPr>
        <w:t>一、基本职能及主要工作</w:t>
      </w:r>
      <w:r>
        <w:tab/>
      </w:r>
      <w:r>
        <w:rPr>
          <w:rFonts w:hint="eastAsia"/>
        </w:rPr>
        <w:t>4</w:t>
      </w:r>
      <w:r>
        <w:rPr>
          <w:rFonts w:hint="eastAsia"/>
        </w:rPr>
        <w:fldChar w:fldCharType="end"/>
      </w:r>
    </w:p>
    <w:p>
      <w:pPr>
        <w:pStyle w:val="9"/>
        <w:rPr>
          <w:rFonts w:cstheme="minorBidi"/>
        </w:rPr>
      </w:pPr>
      <w:r>
        <w:fldChar w:fldCharType="begin"/>
      </w:r>
      <w:r>
        <w:instrText xml:space="preserve"> HYPERLINK \l "_Toc15396601" </w:instrText>
      </w:r>
      <w:r>
        <w:fldChar w:fldCharType="separate"/>
      </w:r>
      <w:r>
        <w:rPr>
          <w:rStyle w:val="13"/>
          <w:rFonts w:hint="eastAsia"/>
        </w:rPr>
        <w:t>二、机构设置</w:t>
      </w:r>
      <w:r>
        <w:tab/>
      </w:r>
      <w:r>
        <w:fldChar w:fldCharType="begin"/>
      </w:r>
      <w:r>
        <w:instrText xml:space="preserve"> PAGEREF _Toc15396601 \h </w:instrText>
      </w:r>
      <w:r>
        <w:fldChar w:fldCharType="separate"/>
      </w:r>
      <w:r>
        <w:t>4</w:t>
      </w:r>
      <w:r>
        <w:fldChar w:fldCharType="end"/>
      </w:r>
      <w:r>
        <w:fldChar w:fldCharType="end"/>
      </w:r>
    </w:p>
    <w:p>
      <w:pPr>
        <w:pStyle w:val="8"/>
      </w:pPr>
      <w:r>
        <w:fldChar w:fldCharType="begin"/>
      </w:r>
      <w:r>
        <w:instrText xml:space="preserve"> HYPERLINK \l "_Toc15396602" </w:instrText>
      </w:r>
      <w:r>
        <w:fldChar w:fldCharType="separate"/>
      </w:r>
      <w:r>
        <w:rPr>
          <w:rStyle w:val="13"/>
          <w:rFonts w:hint="eastAsia"/>
        </w:rPr>
        <w:t>第二部分</w:t>
      </w:r>
      <w:r>
        <w:rPr>
          <w:rStyle w:val="13"/>
        </w:rPr>
        <w:t xml:space="preserve"> 20</w:t>
      </w:r>
      <w:r>
        <w:rPr>
          <w:rStyle w:val="13"/>
          <w:rFonts w:hint="eastAsia"/>
          <w:lang w:val="en-US" w:eastAsia="zh-CN"/>
        </w:rPr>
        <w:t>20</w:t>
      </w:r>
      <w:r>
        <w:rPr>
          <w:rStyle w:val="13"/>
          <w:rFonts w:hint="eastAsia"/>
        </w:rPr>
        <w:t>年度部门决算情况说明</w:t>
      </w:r>
      <w:r>
        <w:tab/>
      </w:r>
      <w:r>
        <w:fldChar w:fldCharType="begin"/>
      </w:r>
      <w:r>
        <w:instrText xml:space="preserve"> PAGEREF _Toc15396602 \h </w:instrText>
      </w:r>
      <w:r>
        <w:fldChar w:fldCharType="separate"/>
      </w:r>
      <w:r>
        <w:t>1</w:t>
      </w:r>
      <w:r>
        <w:fldChar w:fldCharType="end"/>
      </w:r>
      <w:r>
        <w:fldChar w:fldCharType="end"/>
      </w:r>
      <w:bookmarkStart w:id="74" w:name="_GoBack"/>
      <w:bookmarkEnd w:id="74"/>
    </w:p>
    <w:p>
      <w:pPr>
        <w:pStyle w:val="9"/>
        <w:rPr>
          <w:rFonts w:cstheme="minorBidi"/>
        </w:rPr>
      </w:pPr>
      <w:r>
        <w:fldChar w:fldCharType="begin"/>
      </w:r>
      <w:r>
        <w:instrText xml:space="preserve"> HYPERLINK \l "_Toc15396603" </w:instrText>
      </w:r>
      <w:r>
        <w:fldChar w:fldCharType="separate"/>
      </w:r>
      <w:r>
        <w:rPr>
          <w:rStyle w:val="13"/>
          <w:rFonts w:hint="eastAsia" w:cstheme="majorBidi"/>
          <w:bCs/>
        </w:rPr>
        <w:t>一、</w:t>
      </w:r>
      <w:r>
        <w:rPr>
          <w:rStyle w:val="13"/>
          <w:rFonts w:hint="eastAsia"/>
        </w:rPr>
        <w:t>收</w:t>
      </w:r>
      <w:r>
        <w:rPr>
          <w:rStyle w:val="13"/>
          <w:rFonts w:hint="eastAsia" w:cstheme="majorBidi"/>
          <w:bCs/>
        </w:rPr>
        <w:t>入支出决算总体情况说明</w:t>
      </w:r>
      <w:r>
        <w:tab/>
      </w:r>
      <w:r>
        <w:fldChar w:fldCharType="begin"/>
      </w:r>
      <w:r>
        <w:instrText xml:space="preserve"> PAGEREF _Toc15396603 \h </w:instrText>
      </w:r>
      <w:r>
        <w:fldChar w:fldCharType="separate"/>
      </w:r>
      <w:r>
        <w:t>6</w:t>
      </w:r>
      <w:r>
        <w:fldChar w:fldCharType="end"/>
      </w:r>
      <w:r>
        <w:fldChar w:fldCharType="end"/>
      </w:r>
    </w:p>
    <w:p>
      <w:pPr>
        <w:pStyle w:val="9"/>
        <w:rPr>
          <w:rFonts w:cstheme="minorBidi"/>
        </w:rPr>
      </w:pPr>
      <w:r>
        <w:fldChar w:fldCharType="begin"/>
      </w:r>
      <w:r>
        <w:instrText xml:space="preserve"> HYPERLINK \l "_Toc15396604" </w:instrText>
      </w:r>
      <w:r>
        <w:fldChar w:fldCharType="separate"/>
      </w:r>
      <w:r>
        <w:rPr>
          <w:rStyle w:val="13"/>
          <w:rFonts w:hint="eastAsia" w:cstheme="majorBidi"/>
          <w:bCs/>
        </w:rPr>
        <w:t>二、</w:t>
      </w:r>
      <w:r>
        <w:rPr>
          <w:rStyle w:val="13"/>
          <w:rFonts w:hint="eastAsia"/>
        </w:rPr>
        <w:t>收</w:t>
      </w:r>
      <w:r>
        <w:rPr>
          <w:rStyle w:val="13"/>
          <w:rFonts w:hint="eastAsia" w:cstheme="majorBidi"/>
          <w:bCs/>
        </w:rPr>
        <w:t>入决算情况说明</w:t>
      </w:r>
      <w:r>
        <w:tab/>
      </w:r>
      <w:r>
        <w:fldChar w:fldCharType="begin"/>
      </w:r>
      <w:r>
        <w:instrText xml:space="preserve"> PAGEREF _Toc15396604 \h </w:instrText>
      </w:r>
      <w:r>
        <w:fldChar w:fldCharType="separate"/>
      </w:r>
      <w:r>
        <w:t>6</w:t>
      </w:r>
      <w:r>
        <w:fldChar w:fldCharType="end"/>
      </w:r>
      <w:r>
        <w:fldChar w:fldCharType="end"/>
      </w:r>
    </w:p>
    <w:p>
      <w:pPr>
        <w:pStyle w:val="9"/>
        <w:rPr>
          <w:rFonts w:cstheme="minorBidi"/>
        </w:rPr>
      </w:pPr>
      <w:r>
        <w:fldChar w:fldCharType="begin"/>
      </w:r>
      <w:r>
        <w:instrText xml:space="preserve"> HYPERLINK \l "_Toc15396605" </w:instrText>
      </w:r>
      <w:r>
        <w:fldChar w:fldCharType="separate"/>
      </w:r>
      <w:r>
        <w:rPr>
          <w:rStyle w:val="13"/>
          <w:rFonts w:hint="eastAsia" w:cstheme="majorBidi"/>
          <w:bCs/>
        </w:rPr>
        <w:t>三、</w:t>
      </w:r>
      <w:r>
        <w:rPr>
          <w:rStyle w:val="13"/>
          <w:rFonts w:hint="eastAsia"/>
        </w:rPr>
        <w:t>支</w:t>
      </w:r>
      <w:r>
        <w:rPr>
          <w:rStyle w:val="13"/>
          <w:rFonts w:hint="eastAsia" w:cstheme="majorBidi"/>
          <w:bCs/>
        </w:rPr>
        <w:t>出决算情况说明</w:t>
      </w:r>
      <w:r>
        <w:tab/>
      </w:r>
      <w:r>
        <w:fldChar w:fldCharType="begin"/>
      </w:r>
      <w:r>
        <w:instrText xml:space="preserve"> PAGEREF _Toc15396605 \h </w:instrText>
      </w:r>
      <w:r>
        <w:fldChar w:fldCharType="separate"/>
      </w:r>
      <w:r>
        <w:t>7</w:t>
      </w:r>
      <w:r>
        <w:fldChar w:fldCharType="end"/>
      </w:r>
      <w:r>
        <w:fldChar w:fldCharType="end"/>
      </w:r>
    </w:p>
    <w:p>
      <w:pPr>
        <w:pStyle w:val="9"/>
        <w:rPr>
          <w:rFonts w:cstheme="minorBidi"/>
        </w:rPr>
      </w:pPr>
      <w:r>
        <w:fldChar w:fldCharType="begin"/>
      </w:r>
      <w:r>
        <w:instrText xml:space="preserve"> HYPERLINK \l "_Toc15396606" </w:instrText>
      </w:r>
      <w:r>
        <w:fldChar w:fldCharType="separate"/>
      </w:r>
      <w:r>
        <w:rPr>
          <w:rStyle w:val="13"/>
          <w:rFonts w:hint="eastAsia"/>
        </w:rPr>
        <w:t>四、财</w:t>
      </w:r>
      <w:r>
        <w:rPr>
          <w:rStyle w:val="13"/>
          <w:rFonts w:hint="eastAsia" w:cstheme="majorBidi"/>
          <w:bCs/>
        </w:rPr>
        <w:t>政拨款收入支出决算总体情况说明</w:t>
      </w:r>
      <w:r>
        <w:tab/>
      </w:r>
      <w:r>
        <w:fldChar w:fldCharType="begin"/>
      </w:r>
      <w:r>
        <w:instrText xml:space="preserve"> PAGEREF _Toc15396606 \h </w:instrText>
      </w:r>
      <w:r>
        <w:fldChar w:fldCharType="separate"/>
      </w:r>
      <w:r>
        <w:t>8</w:t>
      </w:r>
      <w:r>
        <w:fldChar w:fldCharType="end"/>
      </w:r>
      <w:r>
        <w:fldChar w:fldCharType="end"/>
      </w:r>
    </w:p>
    <w:p>
      <w:pPr>
        <w:pStyle w:val="9"/>
        <w:rPr>
          <w:rFonts w:cstheme="minorBidi"/>
        </w:rPr>
      </w:pPr>
      <w:r>
        <w:fldChar w:fldCharType="begin"/>
      </w:r>
      <w:r>
        <w:instrText xml:space="preserve"> HYPERLINK \l "_Toc15396607" </w:instrText>
      </w:r>
      <w:r>
        <w:fldChar w:fldCharType="separate"/>
      </w:r>
      <w:r>
        <w:rPr>
          <w:rStyle w:val="13"/>
          <w:rFonts w:hint="eastAsia"/>
        </w:rPr>
        <w:t>五、一</w:t>
      </w:r>
      <w:r>
        <w:rPr>
          <w:rStyle w:val="13"/>
          <w:rFonts w:hint="eastAsia" w:cstheme="majorBidi"/>
          <w:bCs/>
        </w:rPr>
        <w:t>般公共预算财政拨款支出决算情况说明</w:t>
      </w:r>
      <w:r>
        <w:tab/>
      </w:r>
      <w:r>
        <w:fldChar w:fldCharType="begin"/>
      </w:r>
      <w:r>
        <w:instrText xml:space="preserve"> PAGEREF _Toc15396607 \h </w:instrText>
      </w:r>
      <w:r>
        <w:fldChar w:fldCharType="separate"/>
      </w:r>
      <w:r>
        <w:t>9</w:t>
      </w:r>
      <w:r>
        <w:fldChar w:fldCharType="end"/>
      </w:r>
      <w:r>
        <w:fldChar w:fldCharType="end"/>
      </w:r>
    </w:p>
    <w:p>
      <w:pPr>
        <w:pStyle w:val="9"/>
        <w:rPr>
          <w:rFonts w:cstheme="minorBidi"/>
        </w:rPr>
      </w:pPr>
      <w:r>
        <w:fldChar w:fldCharType="begin"/>
      </w:r>
      <w:r>
        <w:instrText xml:space="preserve"> HYPERLINK \l "_Toc15396608" </w:instrText>
      </w:r>
      <w:r>
        <w:fldChar w:fldCharType="separate"/>
      </w:r>
      <w:r>
        <w:rPr>
          <w:rStyle w:val="13"/>
          <w:rFonts w:hint="eastAsia"/>
        </w:rPr>
        <w:t>六、一</w:t>
      </w:r>
      <w:r>
        <w:rPr>
          <w:rStyle w:val="13"/>
          <w:rFonts w:hint="eastAsia" w:cstheme="majorBidi"/>
          <w:bCs/>
        </w:rPr>
        <w:t>般公共预算财政拨款基本支出决算情况说明</w:t>
      </w:r>
      <w:r>
        <w:tab/>
      </w:r>
      <w:r>
        <w:fldChar w:fldCharType="begin"/>
      </w:r>
      <w:r>
        <w:instrText xml:space="preserve"> PAGEREF _Toc15396608 \h </w:instrText>
      </w:r>
      <w:r>
        <w:fldChar w:fldCharType="separate"/>
      </w:r>
      <w:r>
        <w:t>10</w:t>
      </w:r>
      <w:r>
        <w:fldChar w:fldCharType="end"/>
      </w:r>
      <w:r>
        <w:fldChar w:fldCharType="end"/>
      </w:r>
    </w:p>
    <w:p>
      <w:pPr>
        <w:pStyle w:val="9"/>
        <w:rPr>
          <w:rFonts w:cstheme="minorBidi"/>
        </w:rPr>
      </w:pPr>
      <w:r>
        <w:fldChar w:fldCharType="begin"/>
      </w:r>
      <w:r>
        <w:instrText xml:space="preserve"> HYPERLINK \l "_Toc15396609" </w:instrText>
      </w:r>
      <w:r>
        <w:fldChar w:fldCharType="separate"/>
      </w:r>
      <w:r>
        <w:rPr>
          <w:rStyle w:val="13"/>
          <w:rFonts w:hint="eastAsia"/>
        </w:rPr>
        <w:t>七、</w:t>
      </w:r>
      <w:r>
        <w:rPr>
          <w:rStyle w:val="13"/>
        </w:rPr>
        <w:t>“</w:t>
      </w:r>
      <w:r>
        <w:rPr>
          <w:rStyle w:val="13"/>
          <w:rFonts w:hint="eastAsia" w:cstheme="majorBidi"/>
          <w:bCs/>
        </w:rPr>
        <w:t>三公”经费财政拨款支出决算情况说明</w:t>
      </w:r>
      <w:r>
        <w:tab/>
      </w:r>
      <w:r>
        <w:fldChar w:fldCharType="begin"/>
      </w:r>
      <w:r>
        <w:instrText xml:space="preserve"> PAGEREF _Toc15396609 \h </w:instrText>
      </w:r>
      <w:r>
        <w:fldChar w:fldCharType="separate"/>
      </w:r>
      <w:r>
        <w:t>11</w:t>
      </w:r>
      <w:r>
        <w:fldChar w:fldCharType="end"/>
      </w:r>
      <w:r>
        <w:fldChar w:fldCharType="end"/>
      </w:r>
    </w:p>
    <w:p>
      <w:pPr>
        <w:pStyle w:val="9"/>
        <w:rPr>
          <w:rFonts w:cstheme="minorBidi"/>
        </w:rPr>
      </w:pPr>
      <w:r>
        <w:fldChar w:fldCharType="begin"/>
      </w:r>
      <w:r>
        <w:instrText xml:space="preserve"> HYPERLINK \l "_Toc15396610" </w:instrText>
      </w:r>
      <w:r>
        <w:fldChar w:fldCharType="separate"/>
      </w:r>
      <w:r>
        <w:rPr>
          <w:rStyle w:val="13"/>
          <w:rFonts w:hint="eastAsia"/>
        </w:rPr>
        <w:t>八、</w:t>
      </w:r>
      <w:r>
        <w:rPr>
          <w:rStyle w:val="13"/>
          <w:rFonts w:hint="eastAsia" w:cstheme="majorBidi"/>
          <w:bCs/>
        </w:rPr>
        <w:t>政府性基金预算支出决算情况说明</w:t>
      </w:r>
      <w:r>
        <w:tab/>
      </w:r>
      <w:r>
        <w:fldChar w:fldCharType="begin"/>
      </w:r>
      <w:r>
        <w:instrText xml:space="preserve"> PAGEREF _Toc15396610 \h </w:instrText>
      </w:r>
      <w:r>
        <w:fldChar w:fldCharType="separate"/>
      </w:r>
      <w:r>
        <w:t>12</w:t>
      </w:r>
      <w:r>
        <w:fldChar w:fldCharType="end"/>
      </w:r>
      <w:r>
        <w:fldChar w:fldCharType="end"/>
      </w:r>
    </w:p>
    <w:p>
      <w:pPr>
        <w:pStyle w:val="9"/>
        <w:rPr>
          <w:rFonts w:cstheme="minorBidi"/>
        </w:rPr>
      </w:pPr>
      <w:r>
        <w:fldChar w:fldCharType="begin"/>
      </w:r>
      <w:r>
        <w:instrText xml:space="preserve"> HYPERLINK \l "_Toc15396611" </w:instrText>
      </w:r>
      <w:r>
        <w:fldChar w:fldCharType="separate"/>
      </w:r>
      <w:r>
        <w:rPr>
          <w:rStyle w:val="13"/>
          <w:rFonts w:hint="eastAsia" w:cstheme="majorBidi"/>
          <w:bCs/>
        </w:rPr>
        <w:t>九、</w:t>
      </w:r>
      <w:r>
        <w:rPr>
          <w:rStyle w:val="13"/>
          <w:rFonts w:hint="eastAsia"/>
        </w:rPr>
        <w:t xml:space="preserve"> 国</w:t>
      </w:r>
      <w:r>
        <w:rPr>
          <w:rStyle w:val="13"/>
          <w:rFonts w:hint="eastAsia" w:cstheme="majorBidi"/>
          <w:bCs/>
        </w:rPr>
        <w:t>有资本经营预算支出决算情况说明</w:t>
      </w:r>
      <w:r>
        <w:tab/>
      </w:r>
      <w:r>
        <w:fldChar w:fldCharType="begin"/>
      </w:r>
      <w:r>
        <w:instrText xml:space="preserve"> PAGEREF _Toc15396611 \h </w:instrText>
      </w:r>
      <w:r>
        <w:fldChar w:fldCharType="separate"/>
      </w:r>
      <w:r>
        <w:t>12</w:t>
      </w:r>
      <w:r>
        <w:fldChar w:fldCharType="end"/>
      </w:r>
      <w:r>
        <w:fldChar w:fldCharType="end"/>
      </w:r>
    </w:p>
    <w:p>
      <w:pPr>
        <w:pStyle w:val="9"/>
        <w:rPr>
          <w:rStyle w:val="13"/>
          <w:color w:val="auto"/>
          <w:u w:val="none"/>
        </w:rPr>
      </w:pPr>
      <w:r>
        <w:rPr>
          <w:rStyle w:val="13"/>
          <w:rFonts w:hint="eastAsia"/>
          <w:color w:val="auto"/>
          <w:u w:val="none"/>
        </w:rPr>
        <w:t>十、预算绩效情况说明</w:t>
      </w:r>
      <w:r>
        <w:rPr>
          <w:rStyle w:val="13"/>
          <w:color w:val="auto"/>
          <w:u w:val="none"/>
        </w:rPr>
        <w:tab/>
      </w:r>
      <w:r>
        <w:rPr>
          <w:rStyle w:val="13"/>
          <w:rFonts w:hint="eastAsia"/>
          <w:color w:val="auto"/>
          <w:u w:val="none"/>
        </w:rPr>
        <w:t>12</w:t>
      </w:r>
    </w:p>
    <w:p>
      <w:pPr>
        <w:pStyle w:val="9"/>
        <w:rPr>
          <w:rFonts w:cstheme="minorBidi"/>
        </w:rPr>
      </w:pPr>
      <w:r>
        <w:fldChar w:fldCharType="begin"/>
      </w:r>
      <w:r>
        <w:instrText xml:space="preserve"> HYPERLINK \l "_Toc15396612" </w:instrText>
      </w:r>
      <w:r>
        <w:fldChar w:fldCharType="separate"/>
      </w:r>
      <w:r>
        <w:rPr>
          <w:rStyle w:val="13"/>
          <w:rFonts w:hint="eastAsia"/>
        </w:rPr>
        <w:t>十</w:t>
      </w:r>
      <w:r>
        <w:rPr>
          <w:rStyle w:val="13"/>
          <w:rFonts w:hint="eastAsia" w:cstheme="majorBidi"/>
          <w:bCs/>
        </w:rPr>
        <w:t>一、其他重要事项的情况说明</w:t>
      </w:r>
      <w:r>
        <w:tab/>
      </w:r>
      <w:r>
        <w:fldChar w:fldCharType="begin"/>
      </w:r>
      <w:r>
        <w:instrText xml:space="preserve"> PAGEREF _Toc15396612 \h </w:instrText>
      </w:r>
      <w:r>
        <w:fldChar w:fldCharType="separate"/>
      </w:r>
      <w:r>
        <w:t>13</w:t>
      </w:r>
      <w:r>
        <w:fldChar w:fldCharType="end"/>
      </w:r>
      <w:r>
        <w:fldChar w:fldCharType="end"/>
      </w:r>
    </w:p>
    <w:p>
      <w:pPr>
        <w:pStyle w:val="8"/>
        <w:rPr>
          <w:rFonts w:cstheme="minorBidi"/>
        </w:rPr>
      </w:pPr>
      <w:r>
        <w:fldChar w:fldCharType="begin"/>
      </w:r>
      <w:r>
        <w:instrText xml:space="preserve"> HYPERLINK \l "_Toc15396613" </w:instrText>
      </w:r>
      <w:r>
        <w:fldChar w:fldCharType="separate"/>
      </w:r>
      <w:r>
        <w:rPr>
          <w:rStyle w:val="13"/>
          <w:rFonts w:hint="eastAsia"/>
          <w:bCs/>
          <w:kern w:val="44"/>
        </w:rPr>
        <w:t>第三部分</w:t>
      </w:r>
      <w:r>
        <w:rPr>
          <w:rStyle w:val="13"/>
          <w:rFonts w:hint="eastAsia"/>
        </w:rPr>
        <w:t xml:space="preserve"> 名</w:t>
      </w:r>
      <w:r>
        <w:rPr>
          <w:rStyle w:val="13"/>
          <w:rFonts w:hint="eastAsia"/>
          <w:bCs/>
          <w:kern w:val="44"/>
        </w:rPr>
        <w:t>词解释</w:t>
      </w:r>
      <w:r>
        <w:tab/>
      </w:r>
      <w:r>
        <w:fldChar w:fldCharType="begin"/>
      </w:r>
      <w:r>
        <w:instrText xml:space="preserve"> PAGEREF _Toc15396613 \h </w:instrText>
      </w:r>
      <w:r>
        <w:fldChar w:fldCharType="separate"/>
      </w:r>
      <w:r>
        <w:t>13</w:t>
      </w:r>
      <w:r>
        <w:fldChar w:fldCharType="end"/>
      </w:r>
      <w:r>
        <w:fldChar w:fldCharType="end"/>
      </w:r>
    </w:p>
    <w:p>
      <w:pPr>
        <w:pStyle w:val="8"/>
        <w:rPr>
          <w:rFonts w:cstheme="minorBidi"/>
        </w:rPr>
      </w:pPr>
      <w:r>
        <w:fldChar w:fldCharType="begin"/>
      </w:r>
      <w:r>
        <w:instrText xml:space="preserve"> HYPERLINK \l "_Toc15396614" </w:instrText>
      </w:r>
      <w:r>
        <w:fldChar w:fldCharType="separate"/>
      </w:r>
      <w:r>
        <w:rPr>
          <w:rStyle w:val="13"/>
          <w:rFonts w:hint="eastAsia"/>
        </w:rPr>
        <w:t>第</w:t>
      </w:r>
      <w:r>
        <w:rPr>
          <w:rStyle w:val="13"/>
          <w:rFonts w:hint="eastAsia"/>
          <w:bCs/>
          <w:kern w:val="44"/>
        </w:rPr>
        <w:t>四部分附件</w:t>
      </w:r>
      <w:r>
        <w:tab/>
      </w:r>
      <w:r>
        <w:fldChar w:fldCharType="begin"/>
      </w:r>
      <w:r>
        <w:instrText xml:space="preserve"> PAGEREF _Toc15396614 \h </w:instrText>
      </w:r>
      <w:r>
        <w:fldChar w:fldCharType="separate"/>
      </w:r>
      <w:r>
        <w:t>16</w:t>
      </w:r>
      <w:r>
        <w:fldChar w:fldCharType="end"/>
      </w:r>
      <w:r>
        <w:fldChar w:fldCharType="end"/>
      </w:r>
    </w:p>
    <w:p>
      <w:pPr>
        <w:pStyle w:val="9"/>
        <w:rPr>
          <w:rFonts w:cstheme="minorBidi"/>
        </w:rPr>
      </w:pPr>
      <w:r>
        <w:fldChar w:fldCharType="begin"/>
      </w:r>
      <w:r>
        <w:instrText xml:space="preserve"> HYPERLINK \l "_Toc15396615" </w:instrText>
      </w:r>
      <w:r>
        <w:fldChar w:fldCharType="separate"/>
      </w:r>
      <w:r>
        <w:rPr>
          <w:rStyle w:val="13"/>
          <w:rFonts w:hint="eastAsia"/>
          <w:kern w:val="44"/>
        </w:rPr>
        <w:t>附件</w:t>
      </w:r>
      <w:r>
        <w:rPr>
          <w:rStyle w:val="13"/>
          <w:kern w:val="44"/>
        </w:rPr>
        <w:t>1</w:t>
      </w:r>
      <w:r>
        <w:tab/>
      </w:r>
      <w:r>
        <w:fldChar w:fldCharType="begin"/>
      </w:r>
      <w:r>
        <w:instrText xml:space="preserve"> PAGEREF _Toc15396615 \h </w:instrText>
      </w:r>
      <w:r>
        <w:fldChar w:fldCharType="separate"/>
      </w:r>
      <w:r>
        <w:t>16</w:t>
      </w:r>
      <w:r>
        <w:fldChar w:fldCharType="end"/>
      </w:r>
      <w:r>
        <w:fldChar w:fldCharType="end"/>
      </w:r>
    </w:p>
    <w:p>
      <w:pPr>
        <w:pStyle w:val="8"/>
        <w:rPr>
          <w:rFonts w:cstheme="minorBidi"/>
        </w:rPr>
      </w:pPr>
      <w:r>
        <w:fldChar w:fldCharType="begin"/>
      </w:r>
      <w:r>
        <w:instrText xml:space="preserve"> HYPERLINK \l "_Toc15396618" </w:instrText>
      </w:r>
      <w:r>
        <w:fldChar w:fldCharType="separate"/>
      </w:r>
      <w:r>
        <w:rPr>
          <w:rStyle w:val="13"/>
          <w:rFonts w:hint="eastAsia"/>
        </w:rPr>
        <w:t>第</w:t>
      </w:r>
      <w:r>
        <w:rPr>
          <w:rStyle w:val="13"/>
          <w:rFonts w:hint="eastAsia"/>
          <w:bCs/>
          <w:kern w:val="44"/>
        </w:rPr>
        <w:t>五部分附表</w:t>
      </w:r>
      <w:r>
        <w:tab/>
      </w:r>
      <w:r>
        <w:fldChar w:fldCharType="begin"/>
      </w:r>
      <w:r>
        <w:instrText xml:space="preserve"> PAGEREF _Toc15396618 \h </w:instrText>
      </w:r>
      <w:r>
        <w:fldChar w:fldCharType="separate"/>
      </w:r>
      <w:r>
        <w:t>20</w:t>
      </w:r>
      <w:r>
        <w:fldChar w:fldCharType="end"/>
      </w:r>
      <w:r>
        <w:fldChar w:fldCharType="end"/>
      </w:r>
    </w:p>
    <w:p>
      <w:pPr>
        <w:pStyle w:val="9"/>
        <w:rPr>
          <w:rFonts w:cstheme="minorBidi"/>
        </w:rPr>
      </w:pPr>
      <w:r>
        <w:rPr>
          <w:rFonts w:hint="eastAsia"/>
        </w:rPr>
        <w:t>一、</w:t>
      </w:r>
      <w:r>
        <w:fldChar w:fldCharType="begin"/>
      </w:r>
      <w:r>
        <w:instrText xml:space="preserve"> HYPERLINK \l "_Toc15396619" </w:instrText>
      </w:r>
      <w:r>
        <w:fldChar w:fldCharType="separate"/>
      </w:r>
      <w:r>
        <w:rPr>
          <w:rStyle w:val="13"/>
          <w:rFonts w:hint="eastAsia"/>
        </w:rPr>
        <w:t>收入支出决算总表</w:t>
      </w:r>
      <w:r>
        <w:tab/>
      </w:r>
      <w:r>
        <w:fldChar w:fldCharType="begin"/>
      </w:r>
      <w:r>
        <w:instrText xml:space="preserve"> PAGEREF _Toc15396619 \h </w:instrText>
      </w:r>
      <w:r>
        <w:fldChar w:fldCharType="separate"/>
      </w:r>
      <w:r>
        <w:t>20</w:t>
      </w:r>
      <w:r>
        <w:fldChar w:fldCharType="end"/>
      </w:r>
      <w:r>
        <w:fldChar w:fldCharType="end"/>
      </w:r>
    </w:p>
    <w:p>
      <w:pPr>
        <w:pStyle w:val="9"/>
        <w:rPr>
          <w:rFonts w:cstheme="minorBidi"/>
        </w:rPr>
      </w:pPr>
      <w:r>
        <w:rPr>
          <w:rFonts w:hint="eastAsia"/>
        </w:rPr>
        <w:t>二、</w:t>
      </w:r>
      <w:r>
        <w:fldChar w:fldCharType="begin"/>
      </w:r>
      <w:r>
        <w:instrText xml:space="preserve"> HYPERLINK \l "_Toc15396620" </w:instrText>
      </w:r>
      <w:r>
        <w:fldChar w:fldCharType="separate"/>
      </w:r>
      <w:r>
        <w:rPr>
          <w:rStyle w:val="13"/>
          <w:rFonts w:hint="eastAsia"/>
        </w:rPr>
        <w:t>收入总表</w:t>
      </w:r>
      <w:r>
        <w:tab/>
      </w:r>
      <w:r>
        <w:fldChar w:fldCharType="begin"/>
      </w:r>
      <w:r>
        <w:instrText xml:space="preserve"> PAGEREF _Toc15396620 \h </w:instrText>
      </w:r>
      <w:r>
        <w:fldChar w:fldCharType="separate"/>
      </w:r>
      <w:r>
        <w:t>20</w:t>
      </w:r>
      <w:r>
        <w:fldChar w:fldCharType="end"/>
      </w:r>
      <w:r>
        <w:fldChar w:fldCharType="end"/>
      </w:r>
    </w:p>
    <w:p>
      <w:pPr>
        <w:pStyle w:val="9"/>
        <w:rPr>
          <w:rFonts w:cstheme="minorBidi"/>
        </w:rPr>
      </w:pPr>
      <w:r>
        <w:rPr>
          <w:rFonts w:hint="eastAsia"/>
        </w:rPr>
        <w:t>三、</w:t>
      </w:r>
      <w:r>
        <w:fldChar w:fldCharType="begin"/>
      </w:r>
      <w:r>
        <w:instrText xml:space="preserve"> HYPERLINK \l "_Toc15396621" </w:instrText>
      </w:r>
      <w:r>
        <w:fldChar w:fldCharType="separate"/>
      </w:r>
      <w:r>
        <w:rPr>
          <w:rStyle w:val="13"/>
          <w:rFonts w:hint="eastAsia"/>
        </w:rPr>
        <w:t>支出总表</w:t>
      </w:r>
      <w:r>
        <w:tab/>
      </w:r>
      <w:r>
        <w:fldChar w:fldCharType="begin"/>
      </w:r>
      <w:r>
        <w:instrText xml:space="preserve"> PAGEREF _Toc15396621 \h </w:instrText>
      </w:r>
      <w:r>
        <w:fldChar w:fldCharType="separate"/>
      </w:r>
      <w:r>
        <w:t>20</w:t>
      </w:r>
      <w:r>
        <w:fldChar w:fldCharType="end"/>
      </w:r>
      <w:r>
        <w:fldChar w:fldCharType="end"/>
      </w:r>
    </w:p>
    <w:p>
      <w:pPr>
        <w:pStyle w:val="9"/>
        <w:rPr>
          <w:rFonts w:cstheme="minorBidi"/>
        </w:rPr>
      </w:pPr>
      <w:r>
        <w:rPr>
          <w:rFonts w:hint="eastAsia"/>
        </w:rPr>
        <w:t>四、</w:t>
      </w:r>
      <w:r>
        <w:fldChar w:fldCharType="begin"/>
      </w:r>
      <w:r>
        <w:instrText xml:space="preserve"> HYPERLINK \l "_Toc15396622" </w:instrText>
      </w:r>
      <w:r>
        <w:fldChar w:fldCharType="separate"/>
      </w:r>
      <w:r>
        <w:rPr>
          <w:rStyle w:val="13"/>
          <w:rFonts w:hint="eastAsia"/>
        </w:rPr>
        <w:t>财政拨款收入支出决算总表</w:t>
      </w:r>
      <w:r>
        <w:tab/>
      </w:r>
      <w:r>
        <w:fldChar w:fldCharType="begin"/>
      </w:r>
      <w:r>
        <w:instrText xml:space="preserve"> PAGEREF _Toc15396622 \h </w:instrText>
      </w:r>
      <w:r>
        <w:fldChar w:fldCharType="separate"/>
      </w:r>
      <w:r>
        <w:t>20</w:t>
      </w:r>
      <w:r>
        <w:fldChar w:fldCharType="end"/>
      </w:r>
      <w:r>
        <w:fldChar w:fldCharType="end"/>
      </w:r>
    </w:p>
    <w:p>
      <w:pPr>
        <w:pStyle w:val="9"/>
      </w:pPr>
      <w:r>
        <w:rPr>
          <w:rFonts w:hint="eastAsia"/>
        </w:rPr>
        <w:t>五、</w:t>
      </w:r>
      <w:r>
        <w:fldChar w:fldCharType="begin"/>
      </w:r>
      <w:r>
        <w:instrText xml:space="preserve"> HYPERLINK \l "_Toc15396623" </w:instrText>
      </w:r>
      <w:r>
        <w:fldChar w:fldCharType="separate"/>
      </w:r>
      <w:r>
        <w:rPr>
          <w:rFonts w:hint="eastAsia"/>
        </w:rPr>
        <w:t>财政拨款支出决算明细表（政府经济分类科目）</w:t>
      </w:r>
      <w:r>
        <w:tab/>
      </w:r>
      <w:r>
        <w:fldChar w:fldCharType="begin"/>
      </w:r>
      <w:r>
        <w:instrText xml:space="preserve"> PAGEREF _Toc15396623 \h </w:instrText>
      </w:r>
      <w:r>
        <w:fldChar w:fldCharType="separate"/>
      </w:r>
      <w:r>
        <w:t>20</w:t>
      </w:r>
      <w:r>
        <w:fldChar w:fldCharType="end"/>
      </w:r>
      <w:r>
        <w:fldChar w:fldCharType="end"/>
      </w:r>
    </w:p>
    <w:p>
      <w:pPr>
        <w:pStyle w:val="9"/>
        <w:rPr>
          <w:rFonts w:cstheme="minorBidi"/>
        </w:rPr>
      </w:pPr>
      <w:r>
        <w:rPr>
          <w:rFonts w:hint="eastAsia"/>
        </w:rPr>
        <w:t>六、</w:t>
      </w:r>
      <w:r>
        <w:fldChar w:fldCharType="begin"/>
      </w:r>
      <w:r>
        <w:instrText xml:space="preserve"> HYPERLINK \l "_Toc15396624" </w:instrText>
      </w:r>
      <w:r>
        <w:fldChar w:fldCharType="separate"/>
      </w:r>
      <w:r>
        <w:rPr>
          <w:rStyle w:val="13"/>
          <w:rFonts w:hint="eastAsia"/>
        </w:rPr>
        <w:t>一般公共预算财政拨款支出决算表</w:t>
      </w:r>
      <w:r>
        <w:tab/>
      </w:r>
      <w:r>
        <w:fldChar w:fldCharType="begin"/>
      </w:r>
      <w:r>
        <w:instrText xml:space="preserve"> PAGEREF _Toc15396624 \h </w:instrText>
      </w:r>
      <w:r>
        <w:fldChar w:fldCharType="separate"/>
      </w:r>
      <w:r>
        <w:t>20</w:t>
      </w:r>
      <w:r>
        <w:fldChar w:fldCharType="end"/>
      </w:r>
      <w:r>
        <w:fldChar w:fldCharType="end"/>
      </w:r>
    </w:p>
    <w:p>
      <w:pPr>
        <w:pStyle w:val="9"/>
        <w:rPr>
          <w:rFonts w:cstheme="minorBidi"/>
        </w:rPr>
      </w:pPr>
      <w:r>
        <w:rPr>
          <w:rFonts w:hint="eastAsia"/>
        </w:rPr>
        <w:t>七、</w:t>
      </w:r>
      <w:r>
        <w:fldChar w:fldCharType="begin"/>
      </w:r>
      <w:r>
        <w:instrText xml:space="preserve"> HYPERLINK \l "_Toc15396625" </w:instrText>
      </w:r>
      <w:r>
        <w:fldChar w:fldCharType="separate"/>
      </w:r>
      <w:r>
        <w:rPr>
          <w:rStyle w:val="13"/>
          <w:rFonts w:hint="eastAsia"/>
        </w:rPr>
        <w:t>一般公共预算财政拨款支出决算明细表</w:t>
      </w:r>
      <w:r>
        <w:tab/>
      </w:r>
      <w:r>
        <w:fldChar w:fldCharType="begin"/>
      </w:r>
      <w:r>
        <w:instrText xml:space="preserve"> PAGEREF _Toc15396625 \h </w:instrText>
      </w:r>
      <w:r>
        <w:fldChar w:fldCharType="separate"/>
      </w:r>
      <w:r>
        <w:t>20</w:t>
      </w:r>
      <w:r>
        <w:fldChar w:fldCharType="end"/>
      </w:r>
      <w:r>
        <w:fldChar w:fldCharType="end"/>
      </w:r>
    </w:p>
    <w:p>
      <w:pPr>
        <w:pStyle w:val="9"/>
        <w:rPr>
          <w:rFonts w:cstheme="minorBidi"/>
        </w:rPr>
      </w:pPr>
      <w:r>
        <w:rPr>
          <w:rFonts w:hint="eastAsia"/>
        </w:rPr>
        <w:t>八、</w:t>
      </w:r>
      <w:r>
        <w:fldChar w:fldCharType="begin"/>
      </w:r>
      <w:r>
        <w:instrText xml:space="preserve"> HYPERLINK \l "_Toc15396626" </w:instrText>
      </w:r>
      <w:r>
        <w:fldChar w:fldCharType="separate"/>
      </w:r>
      <w:r>
        <w:rPr>
          <w:rStyle w:val="13"/>
          <w:rFonts w:hint="eastAsia"/>
        </w:rPr>
        <w:t>一般公共预算财政拨款基本支出决算表</w:t>
      </w:r>
      <w:r>
        <w:tab/>
      </w:r>
      <w:r>
        <w:fldChar w:fldCharType="begin"/>
      </w:r>
      <w:r>
        <w:instrText xml:space="preserve"> PAGEREF _Toc15396626 \h </w:instrText>
      </w:r>
      <w:r>
        <w:fldChar w:fldCharType="separate"/>
      </w:r>
      <w:r>
        <w:t>20</w:t>
      </w:r>
      <w:r>
        <w:fldChar w:fldCharType="end"/>
      </w:r>
      <w:r>
        <w:fldChar w:fldCharType="end"/>
      </w:r>
    </w:p>
    <w:p>
      <w:pPr>
        <w:pStyle w:val="9"/>
        <w:rPr>
          <w:rFonts w:cstheme="minorBidi"/>
        </w:rPr>
      </w:pPr>
      <w:r>
        <w:rPr>
          <w:rFonts w:hint="eastAsia"/>
        </w:rPr>
        <w:t>九、</w:t>
      </w:r>
      <w:r>
        <w:fldChar w:fldCharType="begin"/>
      </w:r>
      <w:r>
        <w:instrText xml:space="preserve"> HYPERLINK \l "_Toc15396627" </w:instrText>
      </w:r>
      <w:r>
        <w:fldChar w:fldCharType="separate"/>
      </w:r>
      <w:r>
        <w:rPr>
          <w:rStyle w:val="13"/>
          <w:rFonts w:hint="eastAsia"/>
        </w:rPr>
        <w:t>一般公共预算财政拨款项目支出决算表</w:t>
      </w:r>
      <w:r>
        <w:tab/>
      </w:r>
      <w:r>
        <w:fldChar w:fldCharType="begin"/>
      </w:r>
      <w:r>
        <w:instrText xml:space="preserve"> PAGEREF _Toc15396627 \h </w:instrText>
      </w:r>
      <w:r>
        <w:fldChar w:fldCharType="separate"/>
      </w:r>
      <w:r>
        <w:t>20</w:t>
      </w:r>
      <w:r>
        <w:fldChar w:fldCharType="end"/>
      </w:r>
      <w:r>
        <w:fldChar w:fldCharType="end"/>
      </w:r>
    </w:p>
    <w:p>
      <w:pPr>
        <w:pStyle w:val="9"/>
        <w:rPr>
          <w:rFonts w:cstheme="minorBidi"/>
        </w:rPr>
      </w:pPr>
      <w:r>
        <w:rPr>
          <w:rFonts w:hint="eastAsia"/>
        </w:rPr>
        <w:t>十、</w:t>
      </w:r>
      <w:r>
        <w:fldChar w:fldCharType="begin"/>
      </w:r>
      <w:r>
        <w:instrText xml:space="preserve"> HYPERLINK \l "_Toc15396628" </w:instrText>
      </w:r>
      <w:r>
        <w:fldChar w:fldCharType="separate"/>
      </w:r>
      <w:r>
        <w:rPr>
          <w:rStyle w:val="13"/>
          <w:rFonts w:hint="eastAsia"/>
        </w:rPr>
        <w:t>一般公共预算财政拨款“三公”经费支出决算表</w:t>
      </w:r>
      <w:r>
        <w:tab/>
      </w:r>
      <w:r>
        <w:fldChar w:fldCharType="begin"/>
      </w:r>
      <w:r>
        <w:instrText xml:space="preserve"> PAGEREF _Toc15396628 \h </w:instrText>
      </w:r>
      <w:r>
        <w:fldChar w:fldCharType="separate"/>
      </w:r>
      <w:r>
        <w:t>20</w:t>
      </w:r>
      <w:r>
        <w:fldChar w:fldCharType="end"/>
      </w:r>
      <w:r>
        <w:fldChar w:fldCharType="end"/>
      </w:r>
    </w:p>
    <w:p>
      <w:pPr>
        <w:pStyle w:val="9"/>
        <w:rPr>
          <w:rFonts w:cstheme="minorBidi"/>
        </w:rPr>
      </w:pPr>
      <w:r>
        <w:rPr>
          <w:rFonts w:hint="eastAsia"/>
        </w:rPr>
        <w:t>十一、</w:t>
      </w:r>
      <w:r>
        <w:fldChar w:fldCharType="begin"/>
      </w:r>
      <w:r>
        <w:instrText xml:space="preserve"> HYPERLINK \l "_Toc15396629" </w:instrText>
      </w:r>
      <w:r>
        <w:fldChar w:fldCharType="separate"/>
      </w:r>
      <w:r>
        <w:rPr>
          <w:rStyle w:val="13"/>
          <w:rFonts w:hint="eastAsia"/>
        </w:rPr>
        <w:t>政府性基金预算财政拨款收入支出决算表</w:t>
      </w:r>
      <w:r>
        <w:tab/>
      </w:r>
      <w:r>
        <w:fldChar w:fldCharType="begin"/>
      </w:r>
      <w:r>
        <w:instrText xml:space="preserve"> PAGEREF _Toc15396629 \h </w:instrText>
      </w:r>
      <w:r>
        <w:fldChar w:fldCharType="separate"/>
      </w:r>
      <w:r>
        <w:t>20</w:t>
      </w:r>
      <w:r>
        <w:fldChar w:fldCharType="end"/>
      </w:r>
      <w:r>
        <w:fldChar w:fldCharType="end"/>
      </w:r>
    </w:p>
    <w:p>
      <w:pPr>
        <w:pStyle w:val="9"/>
        <w:rPr>
          <w:rFonts w:cstheme="minorBidi"/>
        </w:rPr>
      </w:pPr>
      <w:r>
        <w:rPr>
          <w:rFonts w:hint="eastAsia"/>
        </w:rPr>
        <w:t>十二、</w:t>
      </w:r>
      <w:r>
        <w:fldChar w:fldCharType="begin"/>
      </w:r>
      <w:r>
        <w:instrText xml:space="preserve"> HYPERLINK \l "_Toc15396630" </w:instrText>
      </w:r>
      <w:r>
        <w:fldChar w:fldCharType="separate"/>
      </w:r>
      <w:r>
        <w:rPr>
          <w:rStyle w:val="13"/>
          <w:rFonts w:hint="eastAsia"/>
        </w:rPr>
        <w:t>政府性基金预算财政拨款“三公”经费支出决算表</w:t>
      </w:r>
      <w:r>
        <w:tab/>
      </w:r>
      <w:r>
        <w:fldChar w:fldCharType="begin"/>
      </w:r>
      <w:r>
        <w:instrText xml:space="preserve"> PAGEREF _Toc15396630 \h </w:instrText>
      </w:r>
      <w:r>
        <w:fldChar w:fldCharType="separate"/>
      </w:r>
      <w:r>
        <w:t>20</w:t>
      </w:r>
      <w:r>
        <w:fldChar w:fldCharType="end"/>
      </w:r>
      <w:r>
        <w:fldChar w:fldCharType="end"/>
      </w:r>
    </w:p>
    <w:p>
      <w:pPr>
        <w:pStyle w:val="9"/>
        <w:rPr>
          <w:rFonts w:cstheme="minorBidi"/>
          <w:sz w:val="24"/>
        </w:rPr>
      </w:pPr>
      <w:r>
        <w:rPr>
          <w:rFonts w:hint="eastAsia"/>
        </w:rPr>
        <w:t>十三、</w:t>
      </w:r>
      <w:r>
        <w:fldChar w:fldCharType="begin"/>
      </w:r>
      <w:r>
        <w:instrText xml:space="preserve"> HYPERLINK \l "_Toc15396631" </w:instrText>
      </w:r>
      <w:r>
        <w:fldChar w:fldCharType="separate"/>
      </w:r>
      <w:r>
        <w:rPr>
          <w:rStyle w:val="13"/>
          <w:rFonts w:hint="eastAsia"/>
        </w:rPr>
        <w:t>国有资本经营预算支出决算表</w:t>
      </w:r>
      <w:r>
        <w:tab/>
      </w:r>
      <w:r>
        <w:fldChar w:fldCharType="begin"/>
      </w:r>
      <w:r>
        <w:instrText xml:space="preserve"> PAGEREF _Toc15396631 \h </w:instrText>
      </w:r>
      <w:r>
        <w:fldChar w:fldCharType="separate"/>
      </w:r>
      <w:r>
        <w:t>20</w:t>
      </w:r>
      <w:r>
        <w:fldChar w:fldCharType="end"/>
      </w:r>
      <w: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3" w:name="_Toc15377196"/>
      <w:bookmarkStart w:id="14" w:name="_Toc15396599"/>
      <w:r>
        <w:rPr>
          <w:rFonts w:ascii="黑体" w:hAnsi="黑体" w:eastAsia="黑体"/>
          <w:b/>
        </w:rPr>
        <w:br w:type="page"/>
      </w:r>
    </w:p>
    <w:p>
      <w:pPr>
        <w:pStyle w:val="2"/>
        <w:jc w:val="center"/>
        <w:rPr>
          <w:rStyle w:val="14"/>
          <w:rFonts w:ascii="黑体" w:hAnsi="黑体" w:eastAsia="黑体"/>
          <w:b w:val="0"/>
          <w:bCs w:val="0"/>
        </w:rPr>
      </w:pPr>
      <w:r>
        <w:rPr>
          <w:rFonts w:hint="eastAsia" w:ascii="黑体" w:hAnsi="黑体" w:eastAsia="黑体"/>
        </w:rPr>
        <w:t xml:space="preserve">第一部分 </w:t>
      </w:r>
      <w:r>
        <w:rPr>
          <w:rStyle w:val="14"/>
          <w:rFonts w:hint="eastAsia" w:ascii="黑体" w:hAnsi="黑体" w:eastAsia="黑体"/>
          <w:b w:val="0"/>
          <w:bCs w:val="0"/>
        </w:rPr>
        <w:t>部门概况</w:t>
      </w:r>
      <w:bookmarkEnd w:id="13"/>
      <w:bookmarkEnd w:id="14"/>
    </w:p>
    <w:p>
      <w:pPr>
        <w:widowControl/>
        <w:jc w:val="left"/>
        <w:rPr>
          <w:rFonts w:ascii="黑体" w:eastAsia="黑体"/>
          <w:color w:val="000000"/>
          <w:sz w:val="32"/>
          <w:szCs w:val="32"/>
        </w:rPr>
      </w:pPr>
    </w:p>
    <w:p>
      <w:pPr>
        <w:pStyle w:val="3"/>
        <w:rPr>
          <w:rStyle w:val="15"/>
          <w:rFonts w:ascii="仿宋" w:hAnsi="仿宋" w:eastAsia="仿宋"/>
          <w:b w:val="0"/>
          <w:bCs w:val="0"/>
        </w:rPr>
      </w:pPr>
      <w:bookmarkStart w:id="15" w:name="_Toc15377197"/>
      <w:bookmarkStart w:id="16" w:name="_Toc15396600"/>
      <w:r>
        <w:rPr>
          <w:rFonts w:hint="eastAsia" w:ascii="黑体" w:hAnsi="黑体" w:eastAsia="黑体"/>
          <w:color w:val="000000"/>
        </w:rPr>
        <w:t>一、基</w:t>
      </w:r>
      <w:r>
        <w:rPr>
          <w:rStyle w:val="15"/>
          <w:rFonts w:hint="eastAsia" w:ascii="黑体" w:hAnsi="黑体" w:eastAsia="黑体"/>
          <w:b w:val="0"/>
          <w:bCs w:val="0"/>
        </w:rPr>
        <w:t>本职能及主要工作</w:t>
      </w:r>
      <w:bookmarkEnd w:id="15"/>
      <w:bookmarkEnd w:id="16"/>
    </w:p>
    <w:p>
      <w:pPr>
        <w:pStyle w:val="4"/>
        <w:adjustRightInd w:val="0"/>
        <w:snapToGrid w:val="0"/>
        <w:spacing w:before="93" w:line="600" w:lineRule="exact"/>
        <w:ind w:firstLine="672" w:firstLineChars="210"/>
        <w:outlineLvl w:val="2"/>
        <w:rPr>
          <w:bCs/>
          <w:color w:val="000000"/>
          <w:sz w:val="32"/>
          <w:szCs w:val="32"/>
        </w:rPr>
      </w:pPr>
      <w:bookmarkStart w:id="17" w:name="_Toc15377198"/>
      <w:bookmarkStart w:id="18" w:name="_Toc15378445"/>
      <w:r>
        <w:rPr>
          <w:rFonts w:hint="eastAsia"/>
          <w:bCs/>
          <w:color w:val="000000"/>
          <w:sz w:val="32"/>
          <w:szCs w:val="32"/>
        </w:rPr>
        <w:t>（一）主要职能</w:t>
      </w:r>
    </w:p>
    <w:bookmarkEnd w:id="17"/>
    <w:bookmarkEnd w:id="18"/>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9" w:name="_Toc15377199"/>
      <w:bookmarkStart w:id="20" w:name="_Toc15378446"/>
      <w:r>
        <w:rPr>
          <w:rFonts w:hint="eastAsia" w:ascii="仿宋" w:hAnsi="仿宋" w:eastAsia="仿宋"/>
          <w:bCs/>
          <w:color w:val="000000"/>
          <w:sz w:val="32"/>
          <w:szCs w:val="32"/>
        </w:rPr>
        <w:t>开江县长田初级中学隶属于开江县教育科技知识产权局，是一所全日制初级中学。实施初中义务教育，促进义务教育发展。 在教科局和上级部门的领导下，依法教育,全面贯彻落实科学发展观，促进本校教育事业的蓬勃发展。</w:t>
      </w:r>
      <w:r>
        <w:rPr>
          <w:rFonts w:hint="eastAsia" w:ascii="仿宋" w:hAnsi="仿宋" w:eastAsia="仿宋" w:cs="宋体"/>
          <w:sz w:val="32"/>
          <w:szCs w:val="32"/>
          <w:shd w:val="clear" w:color="auto" w:fill="FFFFFF"/>
        </w:rPr>
        <w:t>确立了以“办人民满意的教育”办学理念；以“质量立校、科研兴校、</w:t>
      </w:r>
      <w:r>
        <w:rPr>
          <w:rFonts w:hint="eastAsia" w:ascii="仿宋" w:hAnsi="仿宋" w:eastAsia="仿宋"/>
          <w:bCs/>
          <w:color w:val="000000"/>
          <w:sz w:val="32"/>
          <w:szCs w:val="32"/>
        </w:rPr>
        <w:t>以服务为宗旨，以质量求生存</w:t>
      </w:r>
      <w:r>
        <w:rPr>
          <w:rFonts w:hint="eastAsia" w:ascii="仿宋" w:hAnsi="仿宋" w:eastAsia="仿宋" w:cs="宋体"/>
          <w:sz w:val="32"/>
          <w:szCs w:val="32"/>
          <w:shd w:val="clear" w:color="auto" w:fill="FFFFFF"/>
        </w:rPr>
        <w:t>”的工作思路；</w:t>
      </w:r>
      <w:r>
        <w:rPr>
          <w:rFonts w:hint="eastAsia" w:ascii="仿宋" w:hAnsi="仿宋" w:eastAsia="仿宋"/>
          <w:bCs/>
          <w:color w:val="000000"/>
          <w:sz w:val="32"/>
          <w:szCs w:val="32"/>
        </w:rPr>
        <w:t>以维护教职工利益，保障教职工合法权益，以教职工、学生的人生幸福和生命质量作为重点。</w:t>
      </w:r>
    </w:p>
    <w:p>
      <w:pPr>
        <w:pStyle w:val="4"/>
        <w:adjustRightInd w:val="0"/>
        <w:snapToGrid w:val="0"/>
        <w:spacing w:before="93" w:line="600" w:lineRule="exact"/>
        <w:ind w:firstLine="672" w:firstLineChars="210"/>
        <w:outlineLvl w:val="2"/>
        <w:rPr>
          <w:bCs/>
          <w:color w:val="000000"/>
          <w:sz w:val="32"/>
          <w:szCs w:val="32"/>
        </w:rPr>
      </w:pPr>
      <w:r>
        <w:rPr>
          <w:rFonts w:hint="eastAsia"/>
          <w:bCs/>
          <w:color w:val="000000"/>
          <w:sz w:val="32"/>
          <w:szCs w:val="32"/>
        </w:rPr>
        <w:t>（二）</w:t>
      </w:r>
      <w:r>
        <w:rPr>
          <w:bCs/>
          <w:color w:val="000000"/>
          <w:sz w:val="32"/>
          <w:szCs w:val="32"/>
        </w:rPr>
        <w:t>20</w:t>
      </w:r>
      <w:r>
        <w:rPr>
          <w:rFonts w:hint="eastAsia"/>
          <w:bCs/>
          <w:color w:val="000000"/>
          <w:sz w:val="32"/>
          <w:szCs w:val="32"/>
          <w:lang w:val="en-US" w:eastAsia="zh-CN"/>
        </w:rPr>
        <w:t>20</w:t>
      </w:r>
      <w:r>
        <w:rPr>
          <w:rFonts w:hint="eastAsia"/>
          <w:bCs/>
          <w:color w:val="000000"/>
          <w:sz w:val="32"/>
          <w:szCs w:val="32"/>
        </w:rPr>
        <w:t>年重点工作完成情况</w:t>
      </w:r>
      <w:bookmarkEnd w:id="19"/>
      <w:bookmarkEnd w:id="20"/>
    </w:p>
    <w:p>
      <w:pPr>
        <w:pStyle w:val="4"/>
        <w:adjustRightInd w:val="0"/>
        <w:snapToGrid w:val="0"/>
        <w:spacing w:before="93" w:line="600" w:lineRule="exact"/>
        <w:ind w:firstLine="672" w:firstLineChars="210"/>
        <w:rPr>
          <w:rFonts w:hint="eastAsia" w:ascii="仿宋" w:hAnsi="仿宋" w:eastAsia="仿宋"/>
          <w:color w:val="000000"/>
          <w:kern w:val="2"/>
          <w:sz w:val="32"/>
          <w:szCs w:val="32"/>
        </w:rPr>
      </w:pPr>
      <w:r>
        <w:rPr>
          <w:rFonts w:hint="eastAsia" w:ascii="仿宋" w:hAnsi="仿宋" w:eastAsia="仿宋"/>
          <w:bCs/>
          <w:color w:val="000000"/>
          <w:sz w:val="32"/>
          <w:szCs w:val="32"/>
        </w:rPr>
        <w:t>本年度</w:t>
      </w:r>
      <w:r>
        <w:rPr>
          <w:rFonts w:hint="eastAsia" w:ascii="仿宋" w:hAnsi="仿宋" w:eastAsia="仿宋"/>
          <w:color w:val="000000"/>
          <w:kern w:val="2"/>
          <w:sz w:val="32"/>
          <w:szCs w:val="32"/>
        </w:rPr>
        <w:t>学校全面贯彻党的教育方针政策，加强党的建设，加强教师队伍建设，实施义务教育均衡发展，提升教学质量，办人民满意教育。按照《义务教育法》的相关要求，完成了当年义务教育教学任务。</w:t>
      </w:r>
    </w:p>
    <w:p>
      <w:pPr>
        <w:pStyle w:val="3"/>
        <w:rPr>
          <w:rStyle w:val="15"/>
          <w:b w:val="0"/>
          <w:bCs w:val="0"/>
        </w:rPr>
      </w:pPr>
      <w:bookmarkStart w:id="21" w:name="_Toc15396601"/>
      <w:bookmarkStart w:id="22" w:name="_Toc15377200"/>
      <w:r>
        <w:rPr>
          <w:rFonts w:hint="eastAsia" w:ascii="黑体" w:eastAsia="黑体"/>
          <w:color w:val="000000"/>
        </w:rPr>
        <w:t>二、</w:t>
      </w:r>
      <w:r>
        <w:rPr>
          <w:rFonts w:hint="eastAsia" w:ascii="黑体" w:hAnsi="黑体" w:eastAsia="黑体"/>
          <w:color w:val="000000"/>
        </w:rPr>
        <w:t>机</w:t>
      </w:r>
      <w:r>
        <w:rPr>
          <w:rStyle w:val="15"/>
          <w:rFonts w:hint="eastAsia" w:ascii="黑体" w:hAnsi="黑体" w:eastAsia="黑体"/>
          <w:b w:val="0"/>
          <w:bCs w:val="0"/>
        </w:rPr>
        <w:t>构设置</w:t>
      </w:r>
      <w:bookmarkEnd w:id="21"/>
      <w:bookmarkEnd w:id="22"/>
    </w:p>
    <w:p>
      <w:pPr>
        <w:snapToGrid w:val="0"/>
        <w:spacing w:line="58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开江县长田初级中学具有独立编制和独立核算的机构1个，在职教职工23人，退休</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人，遗嘱1人。</w:t>
      </w:r>
      <w:r>
        <w:rPr>
          <w:rFonts w:hint="eastAsia" w:ascii="仿宋" w:hAnsi="仿宋" w:eastAsia="仿宋"/>
          <w:sz w:val="32"/>
          <w:szCs w:val="32"/>
        </w:rPr>
        <w:t>内设机构</w:t>
      </w:r>
      <w:r>
        <w:rPr>
          <w:rFonts w:hint="eastAsia" w:ascii="仿宋" w:hAnsi="仿宋" w:eastAsia="仿宋"/>
          <w:sz w:val="32"/>
          <w:szCs w:val="32"/>
          <w:lang w:val="en-US" w:eastAsia="zh-CN"/>
        </w:rPr>
        <w:t>6</w:t>
      </w:r>
      <w:r>
        <w:rPr>
          <w:rFonts w:hint="eastAsia" w:ascii="仿宋" w:hAnsi="仿宋" w:eastAsia="仿宋"/>
          <w:sz w:val="32"/>
          <w:szCs w:val="32"/>
        </w:rPr>
        <w:t>个，包括：</w:t>
      </w:r>
      <w:r>
        <w:rPr>
          <w:rFonts w:hint="eastAsia" w:ascii="仿宋" w:hAnsi="仿宋" w:eastAsia="仿宋" w:cs="仿宋_GB2312"/>
          <w:sz w:val="32"/>
          <w:szCs w:val="32"/>
        </w:rPr>
        <w:t>教务处、政教处、财务室、团队、工会、安办</w:t>
      </w:r>
      <w:r>
        <w:rPr>
          <w:rFonts w:hint="eastAsia" w:ascii="仿宋" w:hAnsi="仿宋" w:eastAsia="仿宋"/>
          <w:sz w:val="32"/>
          <w:szCs w:val="32"/>
        </w:rPr>
        <w:t>。</w:t>
      </w:r>
      <w:r>
        <w:rPr>
          <w:rFonts w:hint="eastAsia" w:ascii="仿宋" w:hAnsi="仿宋" w:eastAsia="仿宋"/>
          <w:sz w:val="32"/>
          <w:szCs w:val="32"/>
          <w:lang w:val="en-US" w:eastAsia="zh-CN"/>
        </w:rPr>
        <w:t>现有</w:t>
      </w:r>
      <w:r>
        <w:rPr>
          <w:rFonts w:hint="eastAsia" w:ascii="仿宋" w:hAnsi="仿宋" w:eastAsia="仿宋"/>
          <w:color w:val="000000"/>
          <w:sz w:val="32"/>
          <w:szCs w:val="32"/>
        </w:rPr>
        <w:t>初中教学班6个，学生数2</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人，定编教职工23人。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4"/>
          <w:rFonts w:ascii="黑体" w:hAnsi="黑体" w:eastAsia="黑体"/>
          <w:b w:val="0"/>
          <w:bCs w:val="0"/>
        </w:rPr>
      </w:pPr>
      <w:r>
        <w:rPr>
          <w:rFonts w:hint="eastAsia" w:ascii="黑体" w:hAnsi="黑体" w:eastAsia="黑体"/>
          <w:color w:val="000000"/>
        </w:rPr>
        <w:t>第二部分</w:t>
      </w:r>
      <w:r>
        <w:rPr>
          <w:rStyle w:val="14"/>
          <w:rFonts w:hint="eastAsia" w:ascii="黑体" w:hAnsi="黑体" w:eastAsia="黑体"/>
          <w:b w:val="0"/>
          <w:bCs w:val="0"/>
        </w:rPr>
        <w:t>20</w:t>
      </w:r>
      <w:r>
        <w:rPr>
          <w:rStyle w:val="14"/>
          <w:rFonts w:hint="eastAsia" w:ascii="黑体" w:hAnsi="黑体" w:eastAsia="黑体"/>
          <w:b w:val="0"/>
          <w:bCs w:val="0"/>
          <w:lang w:val="en-US" w:eastAsia="zh-CN"/>
        </w:rPr>
        <w:t>20</w:t>
      </w:r>
      <w:r>
        <w:rPr>
          <w:rStyle w:val="14"/>
          <w:rFonts w:hint="eastAsia" w:ascii="黑体" w:hAnsi="黑体" w:eastAsia="黑体"/>
          <w:b w:val="0"/>
          <w:bCs w:val="0"/>
        </w:rPr>
        <w:t>年度部门决算情况说明</w:t>
      </w:r>
      <w:bookmarkEnd w:id="5"/>
      <w:bookmarkEnd w:id="6"/>
    </w:p>
    <w:p/>
    <w:p>
      <w:pPr>
        <w:pStyle w:val="16"/>
        <w:numPr>
          <w:ilvl w:val="0"/>
          <w:numId w:val="1"/>
        </w:numPr>
        <w:spacing w:line="600" w:lineRule="exact"/>
        <w:ind w:firstLineChars="0"/>
        <w:outlineLvl w:val="1"/>
        <w:rPr>
          <w:rStyle w:val="15"/>
          <w:rFonts w:ascii="黑体" w:hAnsi="黑体" w:eastAsia="黑体"/>
          <w:b w:val="0"/>
        </w:rPr>
      </w:pPr>
      <w:bookmarkStart w:id="23" w:name="_Toc15396603"/>
      <w:bookmarkStart w:id="24" w:name="_Toc15377205"/>
      <w:r>
        <w:rPr>
          <w:rFonts w:hint="eastAsia" w:ascii="黑体" w:hAnsi="黑体" w:eastAsia="黑体"/>
          <w:b/>
          <w:color w:val="000000"/>
          <w:sz w:val="32"/>
          <w:szCs w:val="32"/>
        </w:rPr>
        <w:t>收</w:t>
      </w:r>
      <w:r>
        <w:rPr>
          <w:rStyle w:val="15"/>
          <w:rFonts w:hint="eastAsia" w:ascii="黑体" w:hAnsi="黑体" w:eastAsia="黑体"/>
          <w:b w:val="0"/>
        </w:rPr>
        <w:t>入支出决算总体情况说明</w:t>
      </w:r>
      <w:bookmarkEnd w:id="23"/>
      <w:bookmarkEnd w:id="24"/>
    </w:p>
    <w:p>
      <w:pPr>
        <w:ind w:firstLine="480" w:firstLineChars="150"/>
        <w:rPr>
          <w:rFonts w:ascii="宋体" w:hAnsi="宋体" w:cs="Arial"/>
          <w:color w:val="000000"/>
          <w:kern w:val="0"/>
          <w:sz w:val="22"/>
          <w:szCs w:val="2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年度收入3</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万元，支出3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年相比，收入</w:t>
      </w:r>
      <w:r>
        <w:rPr>
          <w:rFonts w:hint="eastAsia" w:ascii="仿宋" w:hAnsi="仿宋" w:eastAsia="仿宋"/>
          <w:color w:val="000000"/>
          <w:sz w:val="32"/>
          <w:szCs w:val="32"/>
          <w:lang w:val="en-US" w:eastAsia="zh-CN"/>
        </w:rPr>
        <w:t>增加8.62</w:t>
      </w:r>
      <w:r>
        <w:rPr>
          <w:rFonts w:hint="eastAsia" w:ascii="仿宋" w:hAnsi="仿宋" w:eastAsia="仿宋"/>
          <w:color w:val="000000"/>
          <w:sz w:val="32"/>
          <w:szCs w:val="32"/>
        </w:rPr>
        <w:t>万元、支出增加</w:t>
      </w:r>
      <w:r>
        <w:rPr>
          <w:rFonts w:hint="eastAsia" w:ascii="仿宋" w:hAnsi="仿宋" w:eastAsia="仿宋"/>
          <w:color w:val="000000"/>
          <w:sz w:val="32"/>
          <w:szCs w:val="32"/>
          <w:lang w:val="en-US" w:eastAsia="zh-CN"/>
        </w:rPr>
        <w:t>8.53</w:t>
      </w:r>
      <w:r>
        <w:rPr>
          <w:rFonts w:hint="eastAsia" w:ascii="仿宋" w:hAnsi="仿宋" w:eastAsia="仿宋"/>
          <w:color w:val="000000"/>
          <w:sz w:val="32"/>
          <w:szCs w:val="32"/>
        </w:rPr>
        <w:t>万元。收入</w:t>
      </w:r>
      <w:r>
        <w:rPr>
          <w:rFonts w:hint="eastAsia" w:ascii="仿宋" w:hAnsi="仿宋" w:eastAsia="仿宋"/>
          <w:color w:val="000000"/>
          <w:sz w:val="32"/>
          <w:szCs w:val="32"/>
          <w:lang w:val="en-US" w:eastAsia="zh-CN"/>
        </w:rPr>
        <w:t>增长2.69</w:t>
      </w:r>
      <w:r>
        <w:rPr>
          <w:rFonts w:ascii="仿宋" w:hAnsi="仿宋" w:eastAsia="仿宋"/>
          <w:color w:val="000000"/>
          <w:sz w:val="32"/>
          <w:szCs w:val="32"/>
        </w:rPr>
        <w:t>%，支出增长</w:t>
      </w:r>
      <w:r>
        <w:rPr>
          <w:rFonts w:hint="eastAsia" w:ascii="仿宋" w:hAnsi="仿宋" w:eastAsia="仿宋"/>
          <w:color w:val="000000"/>
          <w:sz w:val="32"/>
          <w:szCs w:val="32"/>
          <w:lang w:val="en-US" w:eastAsia="zh-CN"/>
        </w:rPr>
        <w:t>2.65</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对</w:t>
      </w:r>
      <w:r>
        <w:rPr>
          <w:rFonts w:hint="eastAsia" w:ascii="仿宋" w:hAnsi="仿宋" w:eastAsia="仿宋"/>
          <w:color w:val="000000"/>
          <w:sz w:val="32"/>
          <w:szCs w:val="32"/>
        </w:rPr>
        <w:t>其他对个人和家庭补助</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支出增加。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r>
        <w:rPr>
          <w:color w:val="FF0000"/>
        </w:rPr>
        <w:drawing>
          <wp:inline distT="0" distB="0" distL="0" distR="0">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6"/>
        <w:numPr>
          <w:ilvl w:val="0"/>
          <w:numId w:val="2"/>
        </w:numPr>
        <w:spacing w:line="600" w:lineRule="exact"/>
        <w:ind w:firstLineChars="0"/>
        <w:outlineLvl w:val="1"/>
        <w:rPr>
          <w:rStyle w:val="15"/>
          <w:rFonts w:ascii="黑体" w:hAnsi="黑体" w:eastAsia="黑体"/>
          <w:b w:val="0"/>
        </w:rPr>
      </w:pPr>
      <w:bookmarkStart w:id="25" w:name="_Toc15396604"/>
      <w:bookmarkStart w:id="26" w:name="_Toc15377206"/>
      <w:r>
        <w:rPr>
          <w:rFonts w:hint="eastAsia" w:ascii="黑体" w:hAnsi="黑体" w:eastAsia="黑体"/>
          <w:b/>
          <w:color w:val="000000"/>
          <w:sz w:val="32"/>
          <w:szCs w:val="32"/>
        </w:rPr>
        <w:t>收</w:t>
      </w:r>
      <w:r>
        <w:rPr>
          <w:rStyle w:val="15"/>
          <w:rFonts w:hint="eastAsia" w:ascii="黑体" w:hAnsi="黑体" w:eastAsia="黑体"/>
          <w:b w:val="0"/>
        </w:rPr>
        <w:t>入决算情况说明</w:t>
      </w:r>
      <w:bookmarkEnd w:id="25"/>
      <w:bookmarkEnd w:id="26"/>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年本年收入合计3</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万元，其中：一般公共预算财政拨款收入3</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（图2：收入决算结构图）（饼状图，单位：万元）</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drawing>
          <wp:anchor distT="0" distB="0" distL="114300" distR="114300" simplePos="0" relativeHeight="251659264" behindDoc="0" locked="0" layoutInCell="1" allowOverlap="1">
            <wp:simplePos x="0" y="0"/>
            <wp:positionH relativeFrom="column">
              <wp:posOffset>-581025</wp:posOffset>
            </wp:positionH>
            <wp:positionV relativeFrom="paragraph">
              <wp:posOffset>313055</wp:posOffset>
            </wp:positionV>
            <wp:extent cx="6574155" cy="3832860"/>
            <wp:effectExtent l="0" t="0" r="17145" b="15240"/>
            <wp:wrapNone/>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16"/>
        <w:numPr>
          <w:ilvl w:val="0"/>
          <w:numId w:val="2"/>
        </w:numPr>
        <w:spacing w:line="600" w:lineRule="exact"/>
        <w:ind w:firstLineChars="0"/>
        <w:outlineLvl w:val="1"/>
        <w:rPr>
          <w:rStyle w:val="15"/>
          <w:rFonts w:ascii="黑体" w:hAnsi="黑体" w:eastAsia="黑体"/>
        </w:rPr>
      </w:pPr>
      <w:bookmarkStart w:id="27" w:name="_Toc15377207"/>
      <w:bookmarkStart w:id="28" w:name="_Toc15396605"/>
      <w:r>
        <w:rPr>
          <w:rFonts w:hint="eastAsia" w:ascii="黑体" w:hAnsi="黑体" w:eastAsia="黑体"/>
          <w:color w:val="000000"/>
          <w:sz w:val="32"/>
          <w:szCs w:val="32"/>
        </w:rPr>
        <w:t>支</w:t>
      </w:r>
      <w:r>
        <w:rPr>
          <w:rStyle w:val="15"/>
          <w:rFonts w:hint="eastAsia" w:ascii="黑体" w:hAnsi="黑体" w:eastAsia="黑体"/>
        </w:rPr>
        <w:t>出决算情况说明</w:t>
      </w:r>
      <w:bookmarkEnd w:id="27"/>
      <w:bookmarkEnd w:id="28"/>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万元，其中：基本支出3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；项目支出0万元，占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
      <w:r>
        <w:drawing>
          <wp:inline distT="0" distB="0" distL="0" distR="0">
            <wp:extent cx="5274310" cy="3076575"/>
            <wp:effectExtent l="0" t="0" r="21590" b="952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3" w:firstLineChars="200"/>
        <w:outlineLvl w:val="1"/>
        <w:rPr>
          <w:rStyle w:val="15"/>
          <w:rFonts w:ascii="黑体" w:hAnsi="黑体" w:eastAsia="黑体"/>
          <w:b w:val="0"/>
        </w:rPr>
      </w:pPr>
      <w:bookmarkStart w:id="29" w:name="_Toc15377208"/>
      <w:bookmarkStart w:id="30" w:name="_Toc15396606"/>
      <w:r>
        <w:rPr>
          <w:rFonts w:hint="eastAsia" w:ascii="黑体" w:hAnsi="黑体" w:eastAsia="黑体"/>
          <w:b/>
          <w:color w:val="000000"/>
          <w:sz w:val="32"/>
          <w:szCs w:val="32"/>
        </w:rPr>
        <w:t>四、财</w:t>
      </w:r>
      <w:r>
        <w:rPr>
          <w:rStyle w:val="15"/>
          <w:rFonts w:hint="eastAsia" w:ascii="黑体" w:hAnsi="黑体" w:eastAsia="黑体"/>
          <w:b w:val="0"/>
        </w:rPr>
        <w:t>政拨款收入支出决算总体情况说明</w:t>
      </w:r>
      <w:bookmarkEnd w:id="29"/>
      <w:bookmarkEnd w:id="30"/>
    </w:p>
    <w:p>
      <w:pPr>
        <w:ind w:firstLine="640" w:firstLineChars="200"/>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年度收入3</w:t>
      </w:r>
      <w:r>
        <w:rPr>
          <w:rFonts w:hint="eastAsia" w:ascii="仿宋" w:hAnsi="仿宋" w:eastAsia="仿宋"/>
          <w:color w:val="000000"/>
          <w:sz w:val="32"/>
          <w:szCs w:val="32"/>
          <w:lang w:val="en-US" w:eastAsia="zh-CN"/>
        </w:rPr>
        <w:t>20.85</w:t>
      </w:r>
      <w:r>
        <w:rPr>
          <w:rFonts w:hint="eastAsia" w:ascii="仿宋" w:hAnsi="仿宋" w:eastAsia="仿宋"/>
          <w:color w:val="000000"/>
          <w:sz w:val="32"/>
          <w:szCs w:val="32"/>
        </w:rPr>
        <w:t>万元，支出3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年相比，收入</w:t>
      </w:r>
      <w:r>
        <w:rPr>
          <w:rFonts w:hint="eastAsia" w:ascii="仿宋" w:hAnsi="仿宋" w:eastAsia="仿宋"/>
          <w:color w:val="000000"/>
          <w:sz w:val="32"/>
          <w:szCs w:val="32"/>
          <w:lang w:val="en-US" w:eastAsia="zh-CN"/>
        </w:rPr>
        <w:t>增加8.62</w:t>
      </w:r>
      <w:r>
        <w:rPr>
          <w:rFonts w:hint="eastAsia" w:ascii="仿宋" w:hAnsi="仿宋" w:eastAsia="仿宋"/>
          <w:color w:val="000000"/>
          <w:sz w:val="32"/>
          <w:szCs w:val="32"/>
        </w:rPr>
        <w:t>万元、支出增加</w:t>
      </w:r>
      <w:r>
        <w:rPr>
          <w:rFonts w:hint="eastAsia" w:ascii="仿宋" w:hAnsi="仿宋" w:eastAsia="仿宋"/>
          <w:color w:val="000000"/>
          <w:sz w:val="32"/>
          <w:szCs w:val="32"/>
          <w:lang w:val="en-US" w:eastAsia="zh-CN"/>
        </w:rPr>
        <w:t>8.53</w:t>
      </w:r>
      <w:r>
        <w:rPr>
          <w:rFonts w:hint="eastAsia" w:ascii="仿宋" w:hAnsi="仿宋" w:eastAsia="仿宋"/>
          <w:color w:val="000000"/>
          <w:sz w:val="32"/>
          <w:szCs w:val="32"/>
        </w:rPr>
        <w:t>万元。收入</w:t>
      </w:r>
      <w:r>
        <w:rPr>
          <w:rFonts w:hint="eastAsia" w:ascii="仿宋" w:hAnsi="仿宋" w:eastAsia="仿宋"/>
          <w:color w:val="000000"/>
          <w:sz w:val="32"/>
          <w:szCs w:val="32"/>
          <w:lang w:val="en-US" w:eastAsia="zh-CN"/>
        </w:rPr>
        <w:t>增长2.69</w:t>
      </w:r>
      <w:r>
        <w:rPr>
          <w:rFonts w:ascii="仿宋" w:hAnsi="仿宋" w:eastAsia="仿宋"/>
          <w:color w:val="000000"/>
          <w:sz w:val="32"/>
          <w:szCs w:val="32"/>
        </w:rPr>
        <w:t>%，支出增长</w:t>
      </w:r>
      <w:r>
        <w:rPr>
          <w:rFonts w:hint="eastAsia" w:ascii="仿宋" w:hAnsi="仿宋" w:eastAsia="仿宋"/>
          <w:color w:val="000000"/>
          <w:sz w:val="32"/>
          <w:szCs w:val="32"/>
          <w:lang w:val="en-US" w:eastAsia="zh-CN"/>
        </w:rPr>
        <w:t>2.65</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对</w:t>
      </w:r>
      <w:r>
        <w:rPr>
          <w:rFonts w:hint="eastAsia" w:ascii="仿宋" w:hAnsi="仿宋" w:eastAsia="仿宋"/>
          <w:color w:val="000000"/>
          <w:sz w:val="32"/>
          <w:szCs w:val="32"/>
        </w:rPr>
        <w:t>其他对个人和家庭补助</w:t>
      </w:r>
      <w:r>
        <w:rPr>
          <w:rFonts w:hint="eastAsia" w:ascii="仿宋" w:hAnsi="仿宋" w:eastAsia="仿宋"/>
          <w:color w:val="000000"/>
          <w:sz w:val="32"/>
          <w:szCs w:val="32"/>
          <w:lang w:val="en-US" w:eastAsia="zh-CN"/>
        </w:rPr>
        <w:t>收入、</w:t>
      </w:r>
      <w:r>
        <w:rPr>
          <w:rFonts w:hint="eastAsia" w:ascii="仿宋" w:hAnsi="仿宋" w:eastAsia="仿宋"/>
          <w:color w:val="000000"/>
          <w:sz w:val="32"/>
          <w:szCs w:val="32"/>
        </w:rPr>
        <w:t>支出增加。</w:t>
      </w:r>
    </w:p>
    <w:p>
      <w:pPr>
        <w:rPr>
          <w:b/>
        </w:rPr>
      </w:pPr>
      <w:r>
        <w:rPr>
          <w:rFonts w:hint="eastAsia"/>
        </w:rPr>
        <w:t xml:space="preserve">                           </w:t>
      </w:r>
      <w:r>
        <w:rPr>
          <w:rFonts w:hint="eastAsia"/>
          <w:b/>
        </w:rPr>
        <w:t>财政收入支出总计变动情况表</w:t>
      </w:r>
    </w:p>
    <w:p>
      <w:pPr>
        <w:jc w:val="left"/>
        <w:rPr>
          <w:b/>
        </w:rPr>
      </w:pPr>
      <w:r>
        <w:drawing>
          <wp:inline distT="0" distB="0" distL="0" distR="0">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spacing w:line="600" w:lineRule="exact"/>
        <w:ind w:firstLine="640" w:firstLineChars="200"/>
        <w:outlineLvl w:val="1"/>
        <w:rPr>
          <w:rStyle w:val="15"/>
          <w:rFonts w:ascii="黑体" w:hAnsi="黑体" w:eastAsia="黑体"/>
          <w:b w:val="0"/>
        </w:rPr>
      </w:pPr>
      <w:bookmarkStart w:id="31" w:name="_Toc15396607"/>
      <w:bookmarkStart w:id="32"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rPr>
        <w:t>般公共预算财政拨款支出决算情况说明</w:t>
      </w:r>
      <w:bookmarkEnd w:id="31"/>
      <w:bookmarkEnd w:id="32"/>
    </w:p>
    <w:p>
      <w:pPr>
        <w:spacing w:line="600" w:lineRule="exact"/>
        <w:ind w:firstLine="643" w:firstLineChars="200"/>
        <w:outlineLvl w:val="2"/>
        <w:rPr>
          <w:rFonts w:ascii="仿宋" w:hAnsi="仿宋" w:eastAsia="仿宋"/>
          <w:b/>
          <w:color w:val="000000"/>
          <w:sz w:val="32"/>
          <w:szCs w:val="32"/>
        </w:rPr>
      </w:pPr>
      <w:bookmarkStart w:id="33" w:name="_Toc15377210"/>
      <w:r>
        <w:rPr>
          <w:rFonts w:hint="eastAsia" w:ascii="仿宋" w:hAnsi="仿宋" w:eastAsia="仿宋"/>
          <w:b/>
          <w:color w:val="000000"/>
          <w:sz w:val="32"/>
          <w:szCs w:val="32"/>
        </w:rPr>
        <w:t>（一）一般公共预算财政拨款支出决算总体情况</w:t>
      </w:r>
      <w:bookmarkEnd w:id="33"/>
    </w:p>
    <w:p>
      <w:pPr>
        <w:ind w:firstLine="480" w:firstLineChars="150"/>
        <w:rPr>
          <w:rFonts w:ascii="宋体" w:hAnsi="宋体" w:cs="Arial"/>
          <w:color w:val="000000"/>
          <w:kern w:val="0"/>
          <w:sz w:val="22"/>
          <w:szCs w:val="2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8.62</w:t>
      </w:r>
      <w:r>
        <w:rPr>
          <w:rFonts w:hint="eastAsia" w:ascii="仿宋" w:hAnsi="仿宋" w:eastAsia="仿宋"/>
          <w:color w:val="000000"/>
          <w:sz w:val="32"/>
          <w:szCs w:val="32"/>
        </w:rPr>
        <w:t>万元，</w:t>
      </w:r>
      <w:r>
        <w:rPr>
          <w:rFonts w:ascii="仿宋" w:hAnsi="仿宋" w:eastAsia="仿宋"/>
          <w:color w:val="000000"/>
          <w:sz w:val="32"/>
          <w:szCs w:val="32"/>
        </w:rPr>
        <w:t>增长</w:t>
      </w:r>
      <w:r>
        <w:rPr>
          <w:rFonts w:hint="eastAsia" w:ascii="仿宋" w:hAnsi="仿宋" w:eastAsia="仿宋"/>
          <w:color w:val="000000"/>
          <w:sz w:val="32"/>
          <w:szCs w:val="32"/>
          <w:lang w:val="en-US" w:eastAsia="zh-CN"/>
        </w:rPr>
        <w:t>2.69</w:t>
      </w:r>
      <w:r>
        <w:rPr>
          <w:rFonts w:hint="eastAsia" w:ascii="仿宋" w:hAnsi="仿宋" w:eastAsia="仿宋"/>
          <w:color w:val="000000"/>
          <w:sz w:val="32"/>
          <w:szCs w:val="32"/>
        </w:rPr>
        <w:t>%。主要变动原因是其他对个人和家庭补助支出增加。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
      <w:pPr>
        <w:rPr>
          <w:b/>
        </w:rPr>
      </w:pPr>
      <w:r>
        <w:rPr>
          <w:rFonts w:hint="eastAsia"/>
        </w:rPr>
        <w:t xml:space="preserve">                      </w:t>
      </w:r>
      <w:r>
        <w:rPr>
          <w:rFonts w:hint="eastAsia"/>
          <w:b/>
        </w:rPr>
        <w:t xml:space="preserve">  一般公共预算财政拨款支出变动情况表</w:t>
      </w:r>
    </w:p>
    <w:p>
      <w:r>
        <w:drawing>
          <wp:inline distT="0" distB="0" distL="0" distR="0">
            <wp:extent cx="5274310" cy="3076575"/>
            <wp:effectExtent l="0" t="0" r="21590" b="952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34" w:name="_Toc15377211"/>
      <w:r>
        <w:rPr>
          <w:rFonts w:hint="eastAsia" w:ascii="仿宋" w:hAnsi="仿宋" w:eastAsia="仿宋"/>
          <w:b/>
          <w:color w:val="000000"/>
          <w:sz w:val="32"/>
          <w:szCs w:val="32"/>
        </w:rPr>
        <w:t>（二）一般公共预算财政拨款支出决算结构情况</w:t>
      </w:r>
      <w:bookmarkEnd w:id="34"/>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22.21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65.21</w:t>
      </w:r>
      <w:r>
        <w:rPr>
          <w:rFonts w:hint="eastAsia" w:ascii="仿宋" w:hAnsi="仿宋" w:eastAsia="仿宋"/>
          <w:color w:val="000000" w:themeColor="text1"/>
          <w:sz w:val="32"/>
          <w:szCs w:val="32"/>
          <w14:textFill>
            <w14:solidFill>
              <w14:schemeClr w14:val="tx1"/>
            </w14:solidFill>
          </w14:textFill>
        </w:rPr>
        <w:t>万元，占8</w:t>
      </w:r>
      <w:r>
        <w:rPr>
          <w:rFonts w:hint="eastAsia" w:ascii="仿宋" w:hAnsi="仿宋" w:eastAsia="仿宋"/>
          <w:color w:val="000000" w:themeColor="text1"/>
          <w:sz w:val="32"/>
          <w:szCs w:val="32"/>
          <w:lang w:val="en-US" w:eastAsia="zh-CN"/>
          <w14:textFill>
            <w14:solidFill>
              <w14:schemeClr w14:val="tx1"/>
            </w14:solidFill>
          </w14:textFill>
        </w:rPr>
        <w:t>2.31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25.87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；医疗卫生支出10.</w:t>
      </w:r>
      <w:r>
        <w:rPr>
          <w:rFonts w:hint="eastAsia" w:ascii="仿宋" w:hAnsi="仿宋" w:eastAsia="仿宋"/>
          <w:color w:val="000000" w:themeColor="text1"/>
          <w:sz w:val="32"/>
          <w:szCs w:val="32"/>
          <w:lang w:val="en-US" w:eastAsia="zh-CN"/>
          <w14:textFill>
            <w14:solidFill>
              <w14:schemeClr w14:val="tx1"/>
            </w14:solidFill>
          </w14:textFill>
        </w:rPr>
        <w:t>47</w:t>
      </w:r>
      <w:r>
        <w:rPr>
          <w:rFonts w:hint="eastAsia" w:ascii="仿宋" w:hAnsi="仿宋" w:eastAsia="仿宋"/>
          <w:color w:val="000000" w:themeColor="text1"/>
          <w:sz w:val="32"/>
          <w:szCs w:val="32"/>
          <w14:textFill>
            <w14:solidFill>
              <w14:schemeClr w14:val="tx1"/>
            </w14:solidFill>
          </w14:textFill>
        </w:rPr>
        <w:t>万元，占3.2</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20.66</w:t>
      </w:r>
      <w:r>
        <w:rPr>
          <w:rFonts w:hint="eastAsia" w:ascii="仿宋" w:hAnsi="仿宋" w:eastAsia="仿宋"/>
          <w:color w:val="000000" w:themeColor="text1"/>
          <w:sz w:val="32"/>
          <w:szCs w:val="32"/>
          <w14:textFill>
            <w14:solidFill>
              <w14:schemeClr w14:val="tx1"/>
            </w14:solidFill>
          </w14:textFill>
        </w:rPr>
        <w:t>万元，占6.</w:t>
      </w:r>
      <w:r>
        <w:rPr>
          <w:rFonts w:hint="eastAsia" w:ascii="仿宋" w:hAnsi="仿宋" w:eastAsia="仿宋"/>
          <w:color w:val="000000" w:themeColor="text1"/>
          <w:sz w:val="32"/>
          <w:szCs w:val="32"/>
          <w:lang w:val="en-US" w:eastAsia="zh-CN"/>
          <w14:textFill>
            <w14:solidFill>
              <w14:schemeClr w14:val="tx1"/>
            </w14:solidFill>
          </w14:textFill>
        </w:rPr>
        <w:t>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
      <w:r>
        <w:drawing>
          <wp:inline distT="0" distB="0" distL="0" distR="0">
            <wp:extent cx="5274310" cy="3076575"/>
            <wp:effectExtent l="0" t="0" r="21590" b="952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35" w:name="_Toc15377212"/>
      <w:r>
        <w:rPr>
          <w:rFonts w:hint="eastAsia" w:ascii="仿宋" w:hAnsi="仿宋" w:eastAsia="仿宋"/>
          <w:b/>
          <w:color w:val="000000"/>
          <w:sz w:val="32"/>
          <w:szCs w:val="32"/>
        </w:rPr>
        <w:t>（三）一般公共预算财政拨款支出决算具体情况</w:t>
      </w:r>
      <w:bookmarkEnd w:id="35"/>
    </w:p>
    <w:p>
      <w:pPr>
        <w:spacing w:line="600" w:lineRule="exact"/>
        <w:ind w:firstLine="640" w:firstLineChars="200"/>
        <w:outlineLvl w:val="2"/>
        <w:rPr>
          <w:rFonts w:ascii="仿宋" w:hAnsi="仿宋" w:eastAsia="仿宋"/>
          <w:color w:val="000000"/>
          <w:sz w:val="32"/>
          <w:szCs w:val="32"/>
        </w:rPr>
      </w:pPr>
      <w:bookmarkStart w:id="36" w:name="_Toc15377444"/>
      <w:bookmarkStart w:id="37" w:name="_Toc15377213"/>
      <w:bookmarkStart w:id="38" w:name="_Toc15378460"/>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年一般公共预算支出决算数为</w:t>
      </w:r>
      <w:r>
        <w:rPr>
          <w:rFonts w:hint="eastAsia" w:ascii="仿宋" w:hAnsi="仿宋" w:eastAsia="仿宋"/>
          <w:color w:val="000000"/>
          <w:sz w:val="32"/>
          <w:szCs w:val="32"/>
          <w:lang w:val="en-US" w:eastAsia="zh-CN"/>
        </w:rPr>
        <w:t>322.21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。其中：</w:t>
      </w:r>
      <w:bookmarkEnd w:id="36"/>
      <w:bookmarkEnd w:id="37"/>
      <w:bookmarkEnd w:id="38"/>
    </w:p>
    <w:p>
      <w:pPr>
        <w:numPr>
          <w:ilvl w:val="0"/>
          <w:numId w:val="3"/>
        </w:numPr>
        <w:spacing w:line="600" w:lineRule="exact"/>
        <w:ind w:left="638" w:leftChars="304" w:firstLine="0" w:firstLineChars="0"/>
        <w:jc w:val="both"/>
        <w:rPr>
          <w:rFonts w:hint="eastAsia" w:ascii="仿宋" w:hAnsi="仿宋" w:eastAsia="仿宋"/>
          <w:color w:val="000000"/>
          <w:sz w:val="32"/>
          <w:szCs w:val="32"/>
          <w:lang w:eastAsia="zh-CN"/>
        </w:rPr>
      </w:pPr>
      <w:r>
        <w:rPr>
          <w:rFonts w:hint="eastAsia" w:ascii="仿宋" w:hAnsi="仿宋" w:eastAsia="仿宋"/>
          <w:color w:val="000000"/>
          <w:sz w:val="32"/>
          <w:szCs w:val="32"/>
        </w:rPr>
        <w:t>教育支出</w:t>
      </w:r>
      <w:r>
        <w:rPr>
          <w:rFonts w:ascii="仿宋" w:hAnsi="仿宋" w:eastAsia="仿宋"/>
          <w:color w:val="000000"/>
          <w:sz w:val="32"/>
          <w:szCs w:val="32"/>
        </w:rPr>
        <w:t>:</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65.21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numPr>
          <w:numId w:val="0"/>
        </w:numPr>
        <w:spacing w:line="6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rPr>
        <w:t>机关事业单位基本养老保险:</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25.87</w:t>
      </w:r>
      <w:r>
        <w:rPr>
          <w:rFonts w:hint="eastAsia" w:ascii="仿宋" w:hAnsi="仿宋" w:eastAsia="仿宋"/>
          <w:color w:val="000000"/>
          <w:sz w:val="32"/>
          <w:szCs w:val="32"/>
        </w:rPr>
        <w:t>万元，完成预算100%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事业单位医疗保险</w:t>
      </w:r>
      <w:r>
        <w:rPr>
          <w:rFonts w:ascii="仿宋" w:hAnsi="仿宋" w:eastAsia="仿宋"/>
          <w:color w:val="000000"/>
          <w:sz w:val="32"/>
          <w:szCs w:val="32"/>
        </w:rPr>
        <w:t>:</w:t>
      </w:r>
      <w:r>
        <w:rPr>
          <w:rFonts w:hint="eastAsia" w:ascii="仿宋" w:hAnsi="仿宋" w:eastAsia="仿宋"/>
          <w:color w:val="000000"/>
          <w:sz w:val="32"/>
          <w:szCs w:val="32"/>
        </w:rPr>
        <w:t>支出决算为10.</w:t>
      </w:r>
      <w:r>
        <w:rPr>
          <w:rFonts w:hint="eastAsia" w:ascii="仿宋" w:hAnsi="仿宋" w:eastAsia="仿宋"/>
          <w:color w:val="000000"/>
          <w:sz w:val="32"/>
          <w:szCs w:val="32"/>
          <w:lang w:val="en-US" w:eastAsia="zh-CN"/>
        </w:rPr>
        <w:t>47</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4.住房公积金：支出决算为</w:t>
      </w:r>
      <w:r>
        <w:rPr>
          <w:rFonts w:hint="eastAsia" w:ascii="仿宋" w:hAnsi="仿宋" w:eastAsia="仿宋"/>
          <w:color w:val="000000"/>
          <w:sz w:val="32"/>
          <w:szCs w:val="32"/>
          <w:lang w:val="en-US" w:eastAsia="zh-CN"/>
        </w:rPr>
        <w:t>20.66</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15"/>
        </w:rPr>
      </w:pPr>
      <w:bookmarkStart w:id="39" w:name="_Toc15377214"/>
      <w:bookmarkStart w:id="40" w:name="_Toc15396608"/>
      <w:r>
        <w:rPr>
          <w:rFonts w:hint="eastAsia" w:ascii="黑体" w:eastAsia="黑体"/>
          <w:color w:val="000000"/>
          <w:sz w:val="32"/>
          <w:szCs w:val="32"/>
        </w:rPr>
        <w:t>六、</w:t>
      </w:r>
      <w:r>
        <w:rPr>
          <w:rFonts w:hint="eastAsia" w:ascii="黑体" w:hAnsi="黑体" w:eastAsia="黑体"/>
          <w:color w:val="000000"/>
          <w:sz w:val="32"/>
          <w:szCs w:val="32"/>
        </w:rPr>
        <w:t>一</w:t>
      </w:r>
      <w:r>
        <w:rPr>
          <w:rStyle w:val="15"/>
          <w:rFonts w:hint="eastAsia" w:ascii="黑体" w:hAnsi="黑体" w:eastAsia="黑体"/>
        </w:rPr>
        <w:t>般公共预算财政拨款基本支出决算情况说明</w:t>
      </w:r>
      <w:bookmarkEnd w:id="39"/>
      <w:bookmarkEnd w:id="40"/>
      <w:r>
        <w:rPr>
          <w:rStyle w:val="15"/>
          <w:rFonts w:ascii="黑体" w:hAnsi="黑体" w:eastAsia="黑体"/>
        </w:rPr>
        <w:tab/>
      </w:r>
    </w:p>
    <w:p>
      <w:pPr>
        <w:spacing w:line="600" w:lineRule="exact"/>
        <w:ind w:firstLine="1302" w:firstLineChars="407"/>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年一般公共预算财政拨款基本支出3</w:t>
      </w:r>
      <w:r>
        <w:rPr>
          <w:rFonts w:hint="eastAsia" w:ascii="仿宋" w:hAnsi="仿宋" w:eastAsia="仿宋"/>
          <w:color w:val="000000"/>
          <w:sz w:val="32"/>
          <w:szCs w:val="32"/>
          <w:lang w:val="en-US" w:eastAsia="zh-CN"/>
        </w:rPr>
        <w:t>22.21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人员经费2</w:t>
      </w:r>
      <w:r>
        <w:rPr>
          <w:rFonts w:hint="eastAsia" w:ascii="仿宋" w:hAnsi="仿宋" w:eastAsia="仿宋"/>
          <w:color w:val="000000"/>
          <w:sz w:val="32"/>
          <w:szCs w:val="32"/>
          <w:lang w:val="en-US" w:eastAsia="zh-CN"/>
        </w:rPr>
        <w:t>89.81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公用经费3</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5"/>
          <w:rFonts w:ascii="黑体" w:hAnsi="黑体" w:eastAsia="黑体"/>
        </w:rPr>
      </w:pPr>
      <w:bookmarkStart w:id="41" w:name="_Toc15396609"/>
      <w:bookmarkStart w:id="42" w:name="_Toc15377215"/>
      <w:r>
        <w:rPr>
          <w:rFonts w:hint="eastAsia" w:ascii="黑体" w:eastAsia="黑体"/>
          <w:color w:val="000000"/>
          <w:sz w:val="32"/>
          <w:szCs w:val="32"/>
        </w:rPr>
        <w:t>七、</w:t>
      </w:r>
      <w:r>
        <w:rPr>
          <w:rStyle w:val="15"/>
          <w:rFonts w:hint="eastAsia" w:ascii="黑体" w:hAnsi="黑体" w:eastAsia="黑体"/>
        </w:rPr>
        <w:t>“三公”经费财政拨款支出决算情况说明</w:t>
      </w:r>
      <w:bookmarkEnd w:id="41"/>
      <w:bookmarkEnd w:id="42"/>
    </w:p>
    <w:p>
      <w:pPr>
        <w:spacing w:line="600" w:lineRule="exact"/>
        <w:ind w:firstLine="640"/>
        <w:outlineLvl w:val="2"/>
        <w:rPr>
          <w:rFonts w:ascii="仿宋" w:hAnsi="仿宋" w:eastAsia="仿宋"/>
          <w:b/>
          <w:color w:val="000000"/>
          <w:sz w:val="32"/>
          <w:szCs w:val="32"/>
        </w:rPr>
      </w:pPr>
      <w:bookmarkStart w:id="43" w:name="_Toc15377216"/>
      <w:r>
        <w:rPr>
          <w:rFonts w:hint="eastAsia" w:ascii="仿宋" w:hAnsi="仿宋" w:eastAsia="仿宋"/>
          <w:b/>
          <w:color w:val="000000"/>
          <w:sz w:val="32"/>
          <w:szCs w:val="32"/>
        </w:rPr>
        <w:t>（一）“三公”经费财政拨款支出决算总体情况说明</w:t>
      </w:r>
      <w:bookmarkEnd w:id="4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年“三公”经费财政拨款支出决算为0.39万元，完成预算100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4" w:name="_Toc15377217"/>
      <w:r>
        <w:rPr>
          <w:rFonts w:hint="eastAsia" w:ascii="仿宋" w:hAnsi="仿宋" w:eastAsia="仿宋"/>
          <w:b/>
          <w:color w:val="000000"/>
          <w:sz w:val="32"/>
          <w:szCs w:val="32"/>
        </w:rPr>
        <w:t>（二）“三公”经费财政拨款支出决算具体情况说明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；公务接待费支出决算0.39万元，占100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（图8：“三公”经费财政拨款支出结构）（饼状图，单位：万元）</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-9525</wp:posOffset>
            </wp:positionH>
            <wp:positionV relativeFrom="paragraph">
              <wp:posOffset>13335</wp:posOffset>
            </wp:positionV>
            <wp:extent cx="5424805" cy="3373120"/>
            <wp:effectExtent l="0" t="0" r="23495" b="17780"/>
            <wp:wrapNone/>
            <wp:docPr id="7"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公务接待费支出0.39万元，完成预算100</w:t>
      </w:r>
      <w:r>
        <w:rPr>
          <w:rFonts w:ascii="仿宋_GB2312" w:eastAsia="仿宋_GB2312"/>
          <w:b/>
          <w:color w:val="000000"/>
          <w:sz w:val="32"/>
          <w:szCs w:val="32"/>
        </w:rPr>
        <w:t>%</w:t>
      </w:r>
      <w:r>
        <w:rPr>
          <w:rFonts w:hint="eastAsia" w:ascii="仿宋_GB2312" w:eastAsia="仿宋_GB2312"/>
          <w:b/>
          <w:color w:val="000000"/>
          <w:sz w:val="32"/>
          <w:szCs w:val="32"/>
        </w:rPr>
        <w:t>。公务接待费与201</w:t>
      </w: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年持平。</w:t>
      </w:r>
    </w:p>
    <w:p>
      <w:pPr>
        <w:spacing w:line="6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人次（不包括陪同人员），共计支出0.39万元，具体内容包括：上级来校指导工作、开展业务活动等工作餐支出0.39万元。</w:t>
      </w:r>
    </w:p>
    <w:p>
      <w:pPr>
        <w:spacing w:line="600" w:lineRule="exact"/>
        <w:ind w:firstLine="640"/>
        <w:outlineLvl w:val="1"/>
        <w:rPr>
          <w:rStyle w:val="15"/>
          <w:rFonts w:ascii="黑体" w:hAnsi="黑体" w:eastAsia="黑体"/>
        </w:rPr>
      </w:pPr>
      <w:bookmarkStart w:id="45" w:name="_Toc15377218"/>
      <w:bookmarkStart w:id="46" w:name="_Toc15396610"/>
      <w:r>
        <w:rPr>
          <w:rFonts w:hint="eastAsia" w:ascii="黑体" w:eastAsia="黑体"/>
          <w:color w:val="000000"/>
          <w:sz w:val="32"/>
          <w:szCs w:val="32"/>
        </w:rPr>
        <w:t>八、</w:t>
      </w:r>
      <w:r>
        <w:rPr>
          <w:rStyle w:val="15"/>
          <w:rFonts w:hint="eastAsia" w:ascii="黑体" w:hAnsi="黑体" w:eastAsia="黑体"/>
        </w:rPr>
        <w:t>政府性基金预算支出决算情况说明</w:t>
      </w:r>
      <w:bookmarkEnd w:id="45"/>
      <w:bookmarkEnd w:id="46"/>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年政府性基金预算拨款支出0万元</w:t>
      </w:r>
      <w:r>
        <w:rPr>
          <w:rFonts w:hint="eastAsia" w:ascii="仿宋_GB2312" w:eastAsia="仿宋_GB2312"/>
          <w:color w:val="000000"/>
          <w:sz w:val="32"/>
          <w:szCs w:val="32"/>
        </w:rPr>
        <w:t>。</w:t>
      </w:r>
    </w:p>
    <w:p>
      <w:pPr>
        <w:numPr>
          <w:ilvl w:val="0"/>
          <w:numId w:val="4"/>
        </w:numPr>
        <w:spacing w:line="600" w:lineRule="exact"/>
        <w:ind w:firstLine="640"/>
        <w:outlineLvl w:val="1"/>
        <w:rPr>
          <w:rStyle w:val="15"/>
          <w:rFonts w:ascii="黑体" w:hAnsi="黑体" w:eastAsia="黑体"/>
          <w:b w:val="0"/>
        </w:rPr>
      </w:pPr>
      <w:bookmarkStart w:id="47" w:name="_Toc15396611"/>
      <w:bookmarkStart w:id="48" w:name="_Toc15377219"/>
      <w:r>
        <w:rPr>
          <w:rStyle w:val="15"/>
          <w:rFonts w:hint="eastAsia" w:ascii="黑体" w:hAnsi="黑体" w:eastAsia="黑体"/>
        </w:rPr>
        <w:t>国有资本经营预算支出决算情况说明</w:t>
      </w:r>
      <w:bookmarkEnd w:id="47"/>
      <w:bookmarkEnd w:id="48"/>
    </w:p>
    <w:p>
      <w:pPr>
        <w:spacing w:line="600" w:lineRule="exact"/>
        <w:ind w:firstLine="640"/>
        <w:rPr>
          <w:rFonts w:ascii="仿宋_GB2312" w:eastAsia="仿宋_GB2312"/>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年国有资本经营预算拨款支出0万元。</w:t>
      </w:r>
    </w:p>
    <w:p>
      <w:pPr>
        <w:pStyle w:val="16"/>
        <w:numPr>
          <w:ilvl w:val="0"/>
          <w:numId w:val="5"/>
        </w:numPr>
        <w:spacing w:line="580" w:lineRule="exact"/>
        <w:ind w:firstLineChars="0"/>
        <w:rPr>
          <w:rStyle w:val="15"/>
          <w:rFonts w:ascii="黑体" w:hAnsi="黑体" w:eastAsia="黑体"/>
          <w:b w:val="0"/>
        </w:rPr>
      </w:pPr>
      <w:r>
        <w:rPr>
          <w:rStyle w:val="15"/>
          <w:rFonts w:hint="eastAsia" w:ascii="黑体" w:hAnsi="黑体" w:eastAsia="黑体"/>
        </w:rPr>
        <w:t>预算绩效情况说明</w:t>
      </w:r>
    </w:p>
    <w:p>
      <w:pPr>
        <w:numPr>
          <w:ilvl w:val="0"/>
          <w:numId w:val="6"/>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根据预算绩效管理要求，本部门按要求对20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年部门整体支出开展绩效自评，从评价情况来看全面完成了预算执行，达到了预期效果。</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p>
    <w:p>
      <w:pPr>
        <w:numPr>
          <w:numId w:val="0"/>
        </w:numPr>
        <w:spacing w:line="580" w:lineRule="exact"/>
        <w:ind w:firstLine="1600" w:firstLineChars="500"/>
        <w:rPr>
          <w:rFonts w:ascii="仿宋_GB2312" w:hAnsi="仿宋_GB2312" w:eastAsia="仿宋_GB2312" w:cs="仿宋_GB2312"/>
          <w:sz w:val="32"/>
          <w:szCs w:val="32"/>
        </w:rPr>
      </w:pPr>
      <w:r>
        <w:rPr>
          <w:rFonts w:hint="eastAsia" w:ascii="仿宋" w:hAnsi="仿宋" w:eastAsia="仿宋"/>
          <w:color w:val="000000"/>
          <w:sz w:val="32"/>
          <w:szCs w:val="32"/>
        </w:rPr>
        <w:t>本单位20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年度无项目执行情况</w:t>
      </w:r>
      <w:r>
        <w:rPr>
          <w:rFonts w:hint="eastAsia" w:ascii="仿宋_GB2312" w:hAnsi="仿宋_GB2312" w:eastAsia="仿宋_GB2312" w:cs="仿宋_GB2312"/>
          <w:sz w:val="32"/>
          <w:szCs w:val="32"/>
        </w:rPr>
        <w:t>。</w:t>
      </w: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年部门整体支出绩效评价情况开展自评，《开江县长田初级中学20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年部门整体支出绩效评价报告》见附件。</w:t>
      </w:r>
    </w:p>
    <w:p>
      <w:pPr>
        <w:spacing w:line="600" w:lineRule="exact"/>
        <w:ind w:firstLine="800" w:firstLineChars="250"/>
        <w:outlineLvl w:val="1"/>
        <w:rPr>
          <w:rStyle w:val="15"/>
          <w:rFonts w:ascii="黑体" w:hAnsi="黑体" w:eastAsia="黑体"/>
        </w:rPr>
      </w:pPr>
      <w:bookmarkStart w:id="49" w:name="_Toc15396612"/>
      <w:bookmarkStart w:id="50" w:name="_Toc15377221"/>
      <w:r>
        <w:rPr>
          <w:rFonts w:hint="eastAsia" w:ascii="黑体" w:hAnsi="黑体" w:eastAsia="黑体"/>
          <w:color w:val="000000"/>
          <w:sz w:val="32"/>
          <w:szCs w:val="32"/>
        </w:rPr>
        <w:t>十</w:t>
      </w:r>
      <w:r>
        <w:rPr>
          <w:rStyle w:val="15"/>
          <w:rFonts w:hint="eastAsia" w:ascii="黑体" w:hAnsi="黑体" w:eastAsia="黑体"/>
        </w:rPr>
        <w:t>一、其他重要事项的情况说明</w:t>
      </w:r>
      <w:bookmarkEnd w:id="49"/>
      <w:bookmarkEnd w:id="50"/>
    </w:p>
    <w:p>
      <w:pPr>
        <w:spacing w:line="600" w:lineRule="exact"/>
        <w:ind w:firstLine="643" w:firstLineChars="200"/>
        <w:outlineLvl w:val="2"/>
        <w:rPr>
          <w:rFonts w:ascii="仿宋" w:hAnsi="仿宋" w:eastAsia="仿宋"/>
          <w:color w:val="000000"/>
          <w:sz w:val="32"/>
          <w:szCs w:val="32"/>
        </w:rPr>
      </w:pPr>
      <w:bookmarkStart w:id="51" w:name="_Toc15377222"/>
      <w:r>
        <w:rPr>
          <w:rFonts w:hint="eastAsia" w:ascii="仿宋" w:hAnsi="仿宋" w:eastAsia="仿宋"/>
          <w:b/>
          <w:color w:val="000000"/>
          <w:sz w:val="32"/>
          <w:szCs w:val="32"/>
        </w:rPr>
        <w:t>（一）机关运行经费支出情况</w:t>
      </w:r>
      <w:bookmarkEnd w:id="5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（二）政府采购支出情况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w:t>
      </w:r>
      <w:r>
        <w:rPr>
          <w:rFonts w:ascii="仿宋" w:hAnsi="仿宋" w:eastAsia="仿宋"/>
          <w:color w:val="000000"/>
          <w:sz w:val="32"/>
          <w:szCs w:val="32"/>
        </w:rPr>
        <w:t>单位无此项支出</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（三）国有资产占有使用情况</w:t>
      </w:r>
      <w:bookmarkEnd w:id="53"/>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日，本单位无国有资产占有使用情况。</w:t>
      </w:r>
    </w:p>
    <w:p>
      <w:pPr>
        <w:spacing w:line="600" w:lineRule="exact"/>
        <w:ind w:firstLine="640" w:firstLineChars="200"/>
        <w:rPr>
          <w:rFonts w:ascii="仿宋" w:hAnsi="仿宋" w:eastAsia="仿宋"/>
          <w:color w:val="000000"/>
          <w:sz w:val="32"/>
          <w:szCs w:val="32"/>
        </w:rPr>
      </w:pPr>
      <w:bookmarkStart w:id="54" w:name="_Toc15377225"/>
      <w:bookmarkStart w:id="55" w:name="_Toc15396613"/>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p>
      <w:pPr>
        <w:autoSpaceDE w:val="0"/>
        <w:autoSpaceDN w:val="0"/>
        <w:adjustRightInd w:val="0"/>
        <w:spacing w:line="600" w:lineRule="exact"/>
        <w:ind w:firstLine="883" w:firstLineChars="200"/>
        <w:jc w:val="left"/>
        <w:outlineLvl w:val="2"/>
        <w:rPr>
          <w:rFonts w:ascii="黑体" w:hAnsi="黑体" w:eastAsia="黑体"/>
          <w:b/>
          <w:color w:val="000000"/>
          <w:sz w:val="44"/>
          <w:szCs w:val="44"/>
        </w:rPr>
      </w:pPr>
    </w:p>
    <w:bookmarkEnd w:id="54"/>
    <w:bookmarkEnd w:id="55"/>
    <w:p>
      <w:pPr>
        <w:autoSpaceDE w:val="0"/>
        <w:autoSpaceDN w:val="0"/>
        <w:adjustRightInd w:val="0"/>
        <w:spacing w:line="600" w:lineRule="exact"/>
        <w:ind w:firstLine="1760" w:firstLineChars="400"/>
        <w:jc w:val="left"/>
        <w:outlineLvl w:val="2"/>
        <w:rPr>
          <w:rStyle w:val="14"/>
          <w:rFonts w:ascii="黑体" w:hAnsi="黑体" w:eastAsia="黑体"/>
          <w:b w:val="0"/>
        </w:rPr>
      </w:pPr>
      <w:r>
        <w:rPr>
          <w:rFonts w:hint="eastAsia" w:ascii="黑体" w:hAnsi="黑体" w:eastAsia="黑体"/>
          <w:color w:val="000000"/>
          <w:sz w:val="44"/>
          <w:szCs w:val="44"/>
        </w:rPr>
        <w:t>第</w:t>
      </w:r>
      <w:r>
        <w:rPr>
          <w:rStyle w:val="14"/>
          <w:rFonts w:hint="eastAsia" w:ascii="黑体" w:hAnsi="黑体" w:eastAsia="黑体"/>
        </w:rPr>
        <w:t xml:space="preserve">三部分  </w:t>
      </w:r>
      <w:r>
        <w:rPr>
          <w:rFonts w:hint="eastAsia" w:ascii="黑体" w:hAnsi="黑体" w:eastAsia="黑体"/>
          <w:b/>
          <w:color w:val="000000"/>
          <w:sz w:val="44"/>
          <w:szCs w:val="44"/>
        </w:rPr>
        <w:t>名</w:t>
      </w:r>
      <w:r>
        <w:rPr>
          <w:rStyle w:val="14"/>
          <w:rFonts w:hint="eastAsia" w:ascii="黑体" w:hAnsi="黑体" w:eastAsia="黑体"/>
        </w:rPr>
        <w:t>词解释</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1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left"/>
        <w:rPr>
          <w:rFonts w:ascii="宋体"/>
          <w:b/>
          <w:color w:val="000000"/>
          <w:sz w:val="44"/>
          <w:szCs w:val="44"/>
        </w:rPr>
      </w:pPr>
    </w:p>
    <w:p>
      <w:pPr>
        <w:spacing w:line="600" w:lineRule="exact"/>
        <w:jc w:val="center"/>
        <w:outlineLvl w:val="0"/>
        <w:rPr>
          <w:rStyle w:val="14"/>
          <w:rFonts w:ascii="黑体" w:hAnsi="黑体" w:eastAsia="黑体"/>
          <w:b w:val="0"/>
        </w:rPr>
      </w:pPr>
      <w:bookmarkStart w:id="56" w:name="_Toc15396614"/>
      <w:bookmarkStart w:id="57" w:name="_Toc15377226"/>
      <w:r>
        <w:rPr>
          <w:rFonts w:hint="eastAsia" w:ascii="黑体" w:hAnsi="黑体" w:eastAsia="黑体"/>
          <w:b/>
          <w:color w:val="000000"/>
          <w:sz w:val="44"/>
          <w:szCs w:val="44"/>
        </w:rPr>
        <w:t>第</w:t>
      </w:r>
      <w:r>
        <w:rPr>
          <w:rStyle w:val="14"/>
          <w:rFonts w:hint="eastAsia" w:ascii="黑体" w:hAnsi="黑体" w:eastAsia="黑体"/>
        </w:rPr>
        <w:t>四部分 附件</w:t>
      </w:r>
      <w:bookmarkEnd w:id="56"/>
    </w:p>
    <w:p>
      <w:pPr>
        <w:spacing w:line="600" w:lineRule="exact"/>
        <w:jc w:val="center"/>
        <w:outlineLvl w:val="0"/>
        <w:rPr>
          <w:rStyle w:val="14"/>
        </w:rPr>
      </w:pPr>
    </w:p>
    <w:p>
      <w:pPr>
        <w:pStyle w:val="3"/>
        <w:rPr>
          <w:rStyle w:val="14"/>
          <w:rFonts w:ascii="仿宋" w:hAnsi="仿宋" w:eastAsia="仿宋"/>
          <w:b w:val="0"/>
          <w:bCs w:val="0"/>
        </w:rPr>
      </w:pPr>
      <w:bookmarkStart w:id="58" w:name="_Toc15396615"/>
      <w:r>
        <w:rPr>
          <w:rStyle w:val="14"/>
          <w:rFonts w:hint="eastAsia" w:ascii="仿宋" w:hAnsi="仿宋" w:eastAsia="仿宋"/>
          <w:b w:val="0"/>
          <w:bCs w:val="0"/>
        </w:rPr>
        <w:t>附件1</w:t>
      </w:r>
      <w:bookmarkEnd w:id="58"/>
    </w:p>
    <w:p>
      <w:pPr>
        <w:spacing w:line="600" w:lineRule="exact"/>
        <w:jc w:val="center"/>
        <w:outlineLvl w:val="0"/>
        <w:rPr>
          <w:rFonts w:ascii="黑体" w:hAnsi="黑体" w:eastAsia="黑体" w:cs="方正小标宋简体"/>
          <w:sz w:val="36"/>
          <w:szCs w:val="36"/>
        </w:rPr>
      </w:pPr>
      <w:bookmarkStart w:id="59" w:name="_Toc15396616"/>
      <w:r>
        <w:rPr>
          <w:rFonts w:hint="eastAsia" w:ascii="黑体" w:hAnsi="黑体" w:eastAsia="黑体" w:cs="方正小标宋简体"/>
          <w:sz w:val="36"/>
          <w:szCs w:val="36"/>
        </w:rPr>
        <w:t>开江县长田初级中学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w:t>
      </w:r>
      <w:r>
        <w:rPr>
          <w:rFonts w:hint="eastAsia" w:ascii="黑体" w:hAnsi="黑体" w:eastAsia="黑体" w:cs="方正小标宋简体"/>
          <w:sz w:val="36"/>
          <w:szCs w:val="36"/>
          <w:lang w:val="en-US" w:eastAsia="zh-CN"/>
        </w:rPr>
        <w:t>20</w:t>
      </w:r>
      <w:r>
        <w:rPr>
          <w:rFonts w:hint="eastAsia" w:ascii="黑体" w:hAnsi="黑体" w:eastAsia="黑体" w:cs="方正小标宋简体"/>
          <w:sz w:val="36"/>
          <w:szCs w:val="36"/>
        </w:rPr>
        <w:t>年部门整体支出绩效评价报告</w:t>
      </w:r>
      <w:bookmarkEnd w:id="5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开江县</w:t>
      </w:r>
      <w:r>
        <w:rPr>
          <w:rFonts w:hint="eastAsia" w:ascii="仿宋_GB2312" w:hAnsi="宋体" w:eastAsia="仿宋_GB2312" w:cs="宋体"/>
          <w:color w:val="000000"/>
          <w:kern w:val="0"/>
          <w:sz w:val="32"/>
          <w:szCs w:val="32"/>
          <w:shd w:val="clear" w:color="auto" w:fill="FFFFFF"/>
          <w:lang w:val="en-US" w:eastAsia="zh-CN"/>
        </w:rPr>
        <w:t>长田初级中学</w:t>
      </w:r>
      <w:r>
        <w:rPr>
          <w:rFonts w:hint="eastAsia" w:ascii="仿宋_GB2312" w:hAnsi="宋体" w:eastAsia="仿宋_GB2312" w:cs="宋体"/>
          <w:color w:val="000000"/>
          <w:kern w:val="0"/>
          <w:sz w:val="32"/>
          <w:szCs w:val="32"/>
          <w:shd w:val="clear" w:color="auto" w:fill="FFFFFF"/>
          <w:lang w:val="zh-CN"/>
        </w:rPr>
        <w:t>属全额拨款事业单位，是一个独立核算单位。我校是一所农村</w:t>
      </w:r>
      <w:r>
        <w:rPr>
          <w:rFonts w:hint="eastAsia" w:ascii="仿宋_GB2312" w:hAnsi="宋体" w:eastAsia="仿宋_GB2312" w:cs="宋体"/>
          <w:color w:val="000000"/>
          <w:kern w:val="0"/>
          <w:sz w:val="32"/>
          <w:szCs w:val="32"/>
          <w:shd w:val="clear" w:color="auto" w:fill="FFFFFF"/>
          <w:lang w:val="en-US" w:eastAsia="zh-CN"/>
        </w:rPr>
        <w:t>中</w:t>
      </w:r>
      <w:r>
        <w:rPr>
          <w:rFonts w:hint="eastAsia" w:ascii="仿宋_GB2312" w:hAnsi="宋体" w:eastAsia="仿宋_GB2312" w:cs="宋体"/>
          <w:color w:val="000000"/>
          <w:kern w:val="0"/>
          <w:sz w:val="32"/>
          <w:szCs w:val="32"/>
          <w:shd w:val="clear" w:color="auto" w:fill="FFFFFF"/>
          <w:lang w:val="zh-CN"/>
        </w:rPr>
        <w:t>学。内设机构7个，包括：</w:t>
      </w:r>
      <w:r>
        <w:rPr>
          <w:rFonts w:hint="eastAsia" w:ascii="仿宋" w:hAnsi="仿宋" w:eastAsia="仿宋" w:cs="仿宋_GB2312"/>
          <w:sz w:val="32"/>
          <w:szCs w:val="32"/>
        </w:rPr>
        <w:t>教务处、政教处、财务室、团队、工会、安办</w:t>
      </w:r>
      <w:r>
        <w:rPr>
          <w:rFonts w:hint="eastAsia" w:ascii="仿宋" w:hAnsi="仿宋" w:eastAsia="仿宋" w:cs="仿宋_GB2312"/>
          <w:sz w:val="32"/>
          <w:szCs w:val="32"/>
          <w:lang w:eastAsia="zh-CN"/>
        </w:rPr>
        <w:t>。</w:t>
      </w:r>
    </w:p>
    <w:p>
      <w:pPr>
        <w:widowControl/>
        <w:numPr>
          <w:ilvl w:val="0"/>
          <w:numId w:val="0"/>
        </w:numPr>
        <w:adjustRightInd w:val="0"/>
        <w:snapToGrid w:val="0"/>
        <w:spacing w:line="580" w:lineRule="exact"/>
        <w:ind w:leftChars="0"/>
        <w:contextualSpacing/>
        <w:jc w:val="left"/>
        <w:rPr>
          <w:rFonts w:hint="eastAsia"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en-US" w:eastAsia="zh-CN"/>
        </w:rPr>
        <w:t xml:space="preserve">    </w:t>
      </w:r>
      <w:r>
        <w:rPr>
          <w:rFonts w:hint="eastAsia" w:ascii="仿宋_GB2312" w:hAnsi="宋体" w:eastAsia="仿宋_GB2312" w:cs="宋体"/>
          <w:b/>
          <w:bCs/>
          <w:color w:val="000000"/>
          <w:kern w:val="0"/>
          <w:sz w:val="32"/>
          <w:szCs w:val="32"/>
          <w:shd w:val="clear" w:color="auto" w:fill="FFFFFF"/>
          <w:lang w:val="zh-CN"/>
        </w:rPr>
        <w:t>（</w:t>
      </w:r>
      <w:r>
        <w:rPr>
          <w:rFonts w:hint="eastAsia" w:ascii="仿宋_GB2312" w:hAnsi="宋体" w:eastAsia="仿宋_GB2312" w:cs="宋体"/>
          <w:b/>
          <w:bCs/>
          <w:color w:val="000000"/>
          <w:kern w:val="0"/>
          <w:sz w:val="32"/>
          <w:szCs w:val="32"/>
          <w:shd w:val="clear" w:color="auto" w:fill="FFFFFF"/>
          <w:lang w:val="en-US" w:eastAsia="zh-CN"/>
        </w:rPr>
        <w:t>二</w:t>
      </w:r>
      <w:r>
        <w:rPr>
          <w:rFonts w:hint="eastAsia" w:ascii="仿宋_GB2312" w:hAnsi="宋体" w:eastAsia="仿宋_GB2312" w:cs="宋体"/>
          <w:b/>
          <w:bCs/>
          <w:color w:val="000000"/>
          <w:kern w:val="0"/>
          <w:sz w:val="32"/>
          <w:szCs w:val="32"/>
          <w:shd w:val="clear" w:color="auto" w:fill="FFFFFF"/>
          <w:lang w:val="zh-CN"/>
        </w:rPr>
        <w:t>）机构职能。</w:t>
      </w:r>
    </w:p>
    <w:p>
      <w:pPr>
        <w:pStyle w:val="4"/>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 w:hAnsi="仿宋" w:eastAsia="仿宋"/>
          <w:bCs/>
          <w:color w:val="000000"/>
          <w:sz w:val="32"/>
          <w:szCs w:val="32"/>
        </w:rPr>
        <w:t>开江县长田初级中学隶属于开江县教育科技知识产权局，是一所全日制初级中学。实施初中义务教育，促进义务教育发展。 在教科局和上级部门的领导下，依法教育,全面贯彻落实科学发展观，促进本校教育事业的蓬勃发展。</w:t>
      </w:r>
      <w:r>
        <w:rPr>
          <w:rFonts w:hint="eastAsia" w:ascii="仿宋" w:hAnsi="仿宋" w:eastAsia="仿宋" w:cs="宋体"/>
          <w:sz w:val="32"/>
          <w:szCs w:val="32"/>
          <w:shd w:val="clear" w:color="auto" w:fill="FFFFFF"/>
        </w:rPr>
        <w:t>确立了以“办人民满意的教育”办学理念；以“质量立校、科研兴校、</w:t>
      </w:r>
      <w:r>
        <w:rPr>
          <w:rFonts w:hint="eastAsia" w:ascii="仿宋" w:hAnsi="仿宋" w:eastAsia="仿宋"/>
          <w:bCs/>
          <w:color w:val="000000"/>
          <w:sz w:val="32"/>
          <w:szCs w:val="32"/>
        </w:rPr>
        <w:t>以服务为宗旨，以质量求生存</w:t>
      </w:r>
      <w:r>
        <w:rPr>
          <w:rFonts w:hint="eastAsia" w:ascii="仿宋" w:hAnsi="仿宋" w:eastAsia="仿宋" w:cs="宋体"/>
          <w:sz w:val="32"/>
          <w:szCs w:val="32"/>
          <w:shd w:val="clear" w:color="auto" w:fill="FFFFFF"/>
        </w:rPr>
        <w:t>”的工作思路；</w:t>
      </w:r>
      <w:r>
        <w:rPr>
          <w:rFonts w:hint="eastAsia" w:ascii="仿宋" w:hAnsi="仿宋" w:eastAsia="仿宋"/>
          <w:bCs/>
          <w:color w:val="000000"/>
          <w:sz w:val="32"/>
          <w:szCs w:val="32"/>
        </w:rPr>
        <w:t>以维护教职工利益，保障教职工合法权益，以教职工、学生的人生幸福和生命质量作为重点。</w:t>
      </w:r>
    </w:p>
    <w:p>
      <w:pPr>
        <w:widowControl/>
        <w:numPr>
          <w:ilvl w:val="0"/>
          <w:numId w:val="0"/>
        </w:numPr>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w:t>
      </w:r>
      <w:r>
        <w:rPr>
          <w:rFonts w:hint="eastAsia" w:ascii="仿宋_GB2312" w:hAnsi="宋体" w:eastAsia="仿宋_GB2312" w:cs="宋体"/>
          <w:b/>
          <w:bCs/>
          <w:color w:val="000000"/>
          <w:kern w:val="0"/>
          <w:sz w:val="32"/>
          <w:szCs w:val="32"/>
          <w:shd w:val="clear" w:color="auto" w:fill="FFFFFF"/>
          <w:lang w:val="en-US" w:eastAsia="zh-CN"/>
        </w:rPr>
        <w:t>三</w:t>
      </w:r>
      <w:r>
        <w:rPr>
          <w:rFonts w:hint="eastAsia" w:ascii="仿宋_GB2312" w:hAnsi="宋体" w:eastAsia="仿宋_GB2312" w:cs="宋体"/>
          <w:b/>
          <w:bCs/>
          <w:color w:val="000000"/>
          <w:kern w:val="0"/>
          <w:sz w:val="32"/>
          <w:szCs w:val="32"/>
          <w:shd w:val="clear" w:color="auto" w:fill="FFFFFF"/>
          <w:lang w:val="zh-CN"/>
        </w:rPr>
        <w:t>）人员概况</w:t>
      </w:r>
      <w:r>
        <w:rPr>
          <w:rFonts w:hint="eastAsia" w:ascii="仿宋_GB2312" w:hAnsi="宋体" w:eastAsia="仿宋_GB2312" w:cs="宋体"/>
          <w:color w:val="000000"/>
          <w:kern w:val="0"/>
          <w:sz w:val="32"/>
          <w:szCs w:val="32"/>
          <w:shd w:val="clear" w:color="auto" w:fill="FFFFFF"/>
          <w:lang w:val="zh-CN"/>
        </w:rPr>
        <w:t>。</w:t>
      </w:r>
    </w:p>
    <w:p>
      <w:pPr>
        <w:widowControl/>
        <w:spacing w:line="480" w:lineRule="auto"/>
        <w:ind w:firstLine="640" w:firstLineChars="200"/>
        <w:rPr>
          <w:rFonts w:ascii="仿宋" w:hAnsi="仿宋" w:eastAsia="仿宋" w:cs="仿宋_GB2312"/>
          <w:sz w:val="32"/>
          <w:szCs w:val="32"/>
        </w:rPr>
      </w:pPr>
      <w:r>
        <w:rPr>
          <w:rFonts w:hint="eastAsia" w:ascii="仿宋_GB2312" w:hAnsi="宋体" w:eastAsia="仿宋_GB2312" w:cs="宋体"/>
          <w:color w:val="000000"/>
          <w:kern w:val="0"/>
          <w:sz w:val="32"/>
          <w:szCs w:val="32"/>
          <w:shd w:val="clear" w:color="auto" w:fill="FFFFFF"/>
          <w:lang w:val="en-US" w:eastAsia="zh-CN"/>
        </w:rPr>
        <w:t>2020年编制人数23人，退休人员7人，遗属人员1人。</w:t>
      </w:r>
      <w:r>
        <w:rPr>
          <w:rFonts w:hint="eastAsia" w:ascii="仿宋" w:hAnsi="仿宋" w:eastAsia="仿宋" w:cs="仿宋_GB2312"/>
          <w:sz w:val="32"/>
          <w:szCs w:val="32"/>
        </w:rPr>
        <w:t>我校共有6个教学班，</w:t>
      </w:r>
      <w:r>
        <w:rPr>
          <w:rFonts w:hint="eastAsia" w:ascii="仿宋_GB2312" w:hAnsi="宋体" w:eastAsia="仿宋_GB2312" w:cs="宋体"/>
          <w:color w:val="000000"/>
          <w:kern w:val="0"/>
          <w:sz w:val="32"/>
          <w:szCs w:val="32"/>
          <w:shd w:val="clear" w:color="auto" w:fill="FFFFFF"/>
          <w:lang w:val="en-US" w:eastAsia="zh-CN"/>
        </w:rPr>
        <w:t>年末在校小学生</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年度我校总收入：3</w:t>
      </w:r>
      <w:r>
        <w:rPr>
          <w:rFonts w:hint="eastAsia" w:ascii="仿宋" w:hAnsi="仿宋" w:eastAsia="仿宋" w:cs="仿宋_GB2312"/>
          <w:sz w:val="32"/>
          <w:szCs w:val="32"/>
          <w:lang w:val="en-US" w:eastAsia="zh-CN"/>
        </w:rPr>
        <w:t>20.85</w:t>
      </w:r>
      <w:r>
        <w:rPr>
          <w:rFonts w:hint="eastAsia" w:ascii="仿宋" w:hAnsi="仿宋" w:eastAsia="仿宋" w:cs="仿宋_GB2312"/>
          <w:sz w:val="32"/>
          <w:szCs w:val="32"/>
        </w:rPr>
        <w:t>万元（财政补助收入3</w:t>
      </w:r>
      <w:r>
        <w:rPr>
          <w:rFonts w:hint="eastAsia" w:ascii="仿宋" w:hAnsi="仿宋" w:eastAsia="仿宋" w:cs="仿宋_GB2312"/>
          <w:sz w:val="32"/>
          <w:szCs w:val="32"/>
          <w:lang w:val="en-US" w:eastAsia="zh-CN"/>
        </w:rPr>
        <w:t>20.85</w:t>
      </w:r>
      <w:r>
        <w:rPr>
          <w:rFonts w:hint="eastAsia" w:ascii="仿宋" w:hAnsi="仿宋" w:eastAsia="仿宋" w:cs="仿宋_GB2312"/>
          <w:sz w:val="32"/>
          <w:szCs w:val="32"/>
        </w:rPr>
        <w:t>万元），结转上年资金</w:t>
      </w:r>
      <w:r>
        <w:rPr>
          <w:rFonts w:hint="eastAsia" w:ascii="仿宋" w:hAnsi="仿宋" w:eastAsia="仿宋" w:cs="仿宋_GB2312"/>
          <w:sz w:val="32"/>
          <w:szCs w:val="32"/>
          <w:lang w:val="en-US" w:eastAsia="zh-CN"/>
        </w:rPr>
        <w:t>72.71</w:t>
      </w:r>
      <w:r>
        <w:rPr>
          <w:rFonts w:hint="eastAsia" w:ascii="仿宋" w:hAnsi="仿宋" w:eastAsia="仿宋" w:cs="仿宋_GB2312"/>
          <w:sz w:val="32"/>
          <w:szCs w:val="32"/>
        </w:rPr>
        <w:t>万元，全年总支出3</w:t>
      </w:r>
      <w:r>
        <w:rPr>
          <w:rFonts w:hint="eastAsia" w:ascii="仿宋" w:hAnsi="仿宋" w:eastAsia="仿宋" w:cs="仿宋_GB2312"/>
          <w:sz w:val="32"/>
          <w:szCs w:val="32"/>
          <w:lang w:val="en-US" w:eastAsia="zh-CN"/>
        </w:rPr>
        <w:t>22.21</w:t>
      </w:r>
      <w:r>
        <w:rPr>
          <w:rFonts w:hint="eastAsia" w:ascii="仿宋" w:hAnsi="仿宋" w:eastAsia="仿宋" w:cs="仿宋_GB2312"/>
          <w:sz w:val="32"/>
          <w:szCs w:val="32"/>
        </w:rPr>
        <w:t>万元，结转下年</w:t>
      </w:r>
      <w:r>
        <w:rPr>
          <w:rFonts w:hint="eastAsia" w:ascii="仿宋" w:hAnsi="仿宋" w:eastAsia="仿宋" w:cs="仿宋_GB2312"/>
          <w:sz w:val="32"/>
          <w:szCs w:val="32"/>
          <w:lang w:val="en-US" w:eastAsia="zh-CN"/>
        </w:rPr>
        <w:t>71.36</w:t>
      </w:r>
      <w:r>
        <w:rPr>
          <w:rFonts w:hint="eastAsia" w:ascii="仿宋" w:hAnsi="仿宋" w:eastAsia="仿宋" w:cs="仿宋_GB2312"/>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年教育支出</w:t>
      </w:r>
      <w:r>
        <w:rPr>
          <w:rFonts w:hint="eastAsia" w:ascii="仿宋" w:hAnsi="仿宋" w:eastAsia="仿宋"/>
          <w:color w:val="000000" w:themeColor="text1"/>
          <w:sz w:val="32"/>
          <w:szCs w:val="32"/>
          <w:lang w:val="en-US" w:eastAsia="zh-CN"/>
          <w14:textFill>
            <w14:solidFill>
              <w14:schemeClr w14:val="tx1"/>
            </w14:solidFill>
          </w14:textFill>
        </w:rPr>
        <w:t>265.21</w:t>
      </w:r>
      <w:r>
        <w:rPr>
          <w:rFonts w:hint="eastAsia" w:ascii="仿宋" w:hAnsi="仿宋" w:eastAsia="仿宋" w:cs="仿宋_GB2312"/>
          <w:sz w:val="32"/>
          <w:szCs w:val="32"/>
        </w:rPr>
        <w:t>万元，社会保障和就业支出（基本养老保险）</w:t>
      </w:r>
      <w:r>
        <w:rPr>
          <w:rFonts w:hint="eastAsia" w:ascii="仿宋" w:hAnsi="仿宋" w:eastAsia="仿宋"/>
          <w:color w:val="000000" w:themeColor="text1"/>
          <w:sz w:val="32"/>
          <w:szCs w:val="32"/>
          <w:lang w:val="en-US" w:eastAsia="zh-CN"/>
          <w14:textFill>
            <w14:solidFill>
              <w14:schemeClr w14:val="tx1"/>
            </w14:solidFill>
          </w14:textFill>
        </w:rPr>
        <w:t>25.87</w:t>
      </w:r>
      <w:r>
        <w:rPr>
          <w:rFonts w:hint="eastAsia" w:ascii="仿宋" w:hAnsi="仿宋" w:eastAsia="仿宋" w:cs="仿宋_GB2312"/>
          <w:sz w:val="32"/>
          <w:szCs w:val="32"/>
        </w:rPr>
        <w:t>万元，医疗卫生支出（基本医疗保险）</w:t>
      </w:r>
      <w:r>
        <w:rPr>
          <w:rFonts w:hint="eastAsia"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47</w:t>
      </w:r>
      <w:r>
        <w:rPr>
          <w:rFonts w:hint="eastAsia" w:ascii="仿宋" w:hAnsi="仿宋" w:eastAsia="仿宋" w:cs="仿宋_GB2312"/>
          <w:sz w:val="32"/>
          <w:szCs w:val="32"/>
        </w:rPr>
        <w:t>万元，住房保障支出（住房公积金）</w:t>
      </w:r>
      <w:r>
        <w:rPr>
          <w:rFonts w:hint="eastAsia" w:ascii="仿宋" w:hAnsi="仿宋" w:eastAsia="仿宋" w:cs="仿宋_GB2312"/>
          <w:sz w:val="32"/>
          <w:szCs w:val="32"/>
          <w:lang w:val="en-US" w:eastAsia="zh-CN"/>
        </w:rPr>
        <w:t>20.66</w:t>
      </w:r>
      <w:r>
        <w:rPr>
          <w:rFonts w:hint="eastAsia" w:ascii="仿宋" w:hAnsi="仿宋" w:eastAsia="仿宋" w:cs="仿宋_GB2312"/>
          <w:sz w:val="32"/>
          <w:szCs w:val="32"/>
        </w:rPr>
        <w:t>万元。其中基本支出3</w:t>
      </w:r>
      <w:r>
        <w:rPr>
          <w:rFonts w:hint="eastAsia" w:ascii="仿宋" w:hAnsi="仿宋" w:eastAsia="仿宋" w:cs="仿宋_GB2312"/>
          <w:sz w:val="32"/>
          <w:szCs w:val="32"/>
          <w:lang w:val="en-US" w:eastAsia="zh-CN"/>
        </w:rPr>
        <w:t>22.21</w:t>
      </w:r>
      <w:r>
        <w:rPr>
          <w:rFonts w:hint="eastAsia" w:ascii="仿宋" w:hAnsi="仿宋" w:eastAsia="仿宋" w:cs="仿宋_GB2312"/>
          <w:sz w:val="32"/>
          <w:szCs w:val="32"/>
        </w:rPr>
        <w:t>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长田初级中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2、财政资金拨付到位及时。</w:t>
      </w:r>
    </w:p>
    <w:p>
      <w:pPr>
        <w:spacing w:line="580" w:lineRule="exact"/>
        <w:ind w:left="638" w:leftChars="304"/>
        <w:rPr>
          <w:rFonts w:ascii="仿宋" w:hAnsi="仿宋" w:eastAsia="仿宋" w:cs="仿宋_GB2312"/>
          <w:sz w:val="32"/>
          <w:szCs w:val="32"/>
        </w:rPr>
      </w:pPr>
      <w:r>
        <w:rPr>
          <w:rFonts w:hint="eastAsia" w:ascii="仿宋" w:hAnsi="仿宋" w:eastAsia="仿宋" w:cs="仿宋_GB2312"/>
          <w:sz w:val="32"/>
          <w:szCs w:val="32"/>
        </w:rPr>
        <w:t>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本年度保障了教职工的工资福利、遗属的生活补助按时足额发放；确保学校正常运转，全面提升学校的教育教学质量；关心关爱留守学生，做好了对</w:t>
      </w:r>
      <w:r>
        <w:rPr>
          <w:rFonts w:hint="eastAsia" w:ascii="仿宋_GB2312" w:hAnsi="宋体" w:eastAsia="仿宋_GB2312" w:cs="宋体"/>
          <w:color w:val="000000"/>
          <w:kern w:val="0"/>
          <w:sz w:val="32"/>
          <w:szCs w:val="32"/>
          <w:shd w:val="clear" w:color="auto" w:fill="FFFFFF"/>
          <w:lang w:val="en-US" w:eastAsia="zh-CN"/>
        </w:rPr>
        <w:t>家庭经济</w:t>
      </w:r>
      <w:r>
        <w:rPr>
          <w:rFonts w:hint="eastAsia" w:ascii="仿宋_GB2312" w:hAnsi="宋体" w:eastAsia="仿宋_GB2312" w:cs="宋体"/>
          <w:color w:val="000000"/>
          <w:kern w:val="0"/>
          <w:sz w:val="32"/>
          <w:szCs w:val="32"/>
          <w:shd w:val="clear" w:color="auto" w:fill="FFFFFF"/>
          <w:lang w:val="zh-CN"/>
        </w:rPr>
        <w:t>困</w:t>
      </w:r>
      <w:r>
        <w:rPr>
          <w:rFonts w:hint="eastAsia" w:ascii="仿宋_GB2312" w:hAnsi="宋体" w:eastAsia="仿宋_GB2312" w:cs="宋体"/>
          <w:color w:val="000000"/>
          <w:kern w:val="0"/>
          <w:sz w:val="32"/>
          <w:szCs w:val="32"/>
          <w:shd w:val="clear" w:color="auto" w:fill="FFFFFF"/>
          <w:lang w:val="en-US" w:eastAsia="zh-CN"/>
        </w:rPr>
        <w:t>难</w:t>
      </w:r>
      <w:r>
        <w:rPr>
          <w:rFonts w:hint="eastAsia" w:ascii="仿宋_GB2312" w:hAnsi="宋体" w:eastAsia="仿宋_GB2312" w:cs="宋体"/>
          <w:color w:val="000000"/>
          <w:kern w:val="0"/>
          <w:sz w:val="32"/>
          <w:szCs w:val="32"/>
          <w:shd w:val="clear" w:color="auto" w:fill="FFFFFF"/>
          <w:lang w:val="zh-CN"/>
        </w:rPr>
        <w:t>学生</w:t>
      </w:r>
      <w:r>
        <w:rPr>
          <w:rFonts w:hint="eastAsia" w:ascii="仿宋_GB2312" w:hAnsi="宋体" w:eastAsia="仿宋_GB2312" w:cs="宋体"/>
          <w:color w:val="000000"/>
          <w:kern w:val="0"/>
          <w:sz w:val="32"/>
          <w:szCs w:val="32"/>
          <w:shd w:val="clear" w:color="auto" w:fill="FFFFFF"/>
          <w:lang w:val="en-US" w:eastAsia="zh-CN"/>
        </w:rPr>
        <w:t>的</w:t>
      </w:r>
      <w:r>
        <w:rPr>
          <w:rFonts w:hint="eastAsia" w:ascii="仿宋_GB2312" w:hAnsi="宋体" w:eastAsia="仿宋_GB2312" w:cs="宋体"/>
          <w:color w:val="000000"/>
          <w:kern w:val="0"/>
          <w:sz w:val="32"/>
          <w:szCs w:val="32"/>
          <w:shd w:val="clear" w:color="auto" w:fill="FFFFFF"/>
          <w:lang w:val="zh-CN"/>
        </w:rPr>
        <w:t>资助工作。对学校校舍和设备进行维修维护，使设施完好率达100％。加强校园文化和党风廉政建设，推进了教育信息化建设，圆满完成了各项教育教学任务，取得了可喜的成绩。</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（1）年度目标规划的大而散，制定年度目标时不精准，缺乏时效性、可操作性。</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（2）年初预算编制和执行不精细。学校在年初预算编制时，有些科目欠规范，在执行预算的过程中欠到位，责任分配不明确。</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（3）学校监督措施及评价体系还不尽完善，建立健全内部控制监督机制不科学。</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（4）评价指标体系不完善，实际操作有难度。</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（5）专业人员的业务素养有待提高，对业务人员培训不够。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widowControl/>
        <w:jc w:val="left"/>
        <w:rPr>
          <w:rStyle w:val="14"/>
          <w:rFonts w:ascii="黑体" w:hAnsi="黑体" w:eastAsia="黑体"/>
          <w:b w:val="0"/>
        </w:rPr>
      </w:pPr>
    </w:p>
    <w:p>
      <w:pPr>
        <w:spacing w:line="580" w:lineRule="exact"/>
        <w:ind w:firstLine="640" w:firstLineChars="200"/>
        <w:rPr>
          <w:rFonts w:hint="eastAsia" w:ascii="仿宋" w:hAnsi="仿宋" w:eastAsia="仿宋"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14"/>
          <w:rFonts w:ascii="黑体" w:hAnsi="黑体" w:eastAsia="黑体"/>
        </w:rPr>
      </w:pPr>
      <w:bookmarkStart w:id="60" w:name="_Toc15396618"/>
      <w:r>
        <w:rPr>
          <w:rFonts w:hint="eastAsia" w:ascii="黑体" w:hAnsi="黑体" w:eastAsia="黑体"/>
          <w:color w:val="000000"/>
          <w:sz w:val="44"/>
          <w:szCs w:val="44"/>
        </w:rPr>
        <w:t>第</w:t>
      </w:r>
      <w:r>
        <w:rPr>
          <w:rStyle w:val="14"/>
          <w:rFonts w:hint="eastAsia" w:ascii="黑体" w:hAnsi="黑体" w:eastAsia="黑体"/>
        </w:rPr>
        <w:t>五部分 附表</w:t>
      </w:r>
      <w:bookmarkEnd w:id="57"/>
      <w:bookmarkEnd w:id="60"/>
    </w:p>
    <w:p>
      <w:pPr>
        <w:spacing w:line="600" w:lineRule="exact"/>
        <w:jc w:val="center"/>
        <w:outlineLvl w:val="0"/>
        <w:rPr>
          <w:rFonts w:ascii="仿宋" w:hAnsi="仿宋" w:eastAsia="仿宋"/>
          <w:b/>
          <w:color w:val="000000"/>
          <w:sz w:val="44"/>
          <w:szCs w:val="44"/>
        </w:rPr>
      </w:pPr>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1" w:name="_Toc15396619"/>
      <w:r>
        <w:rPr>
          <w:rFonts w:hint="eastAsia" w:ascii="仿宋" w:hAnsi="仿宋" w:eastAsia="仿宋"/>
          <w:b w:val="0"/>
          <w:color w:val="000000"/>
        </w:rPr>
        <w:t>一、收</w:t>
      </w:r>
      <w:r>
        <w:rPr>
          <w:rStyle w:val="22"/>
          <w:rFonts w:hint="eastAsia" w:ascii="仿宋" w:hAnsi="仿宋" w:eastAsia="仿宋"/>
          <w:b w:val="0"/>
          <w:bCs w:val="0"/>
        </w:rPr>
        <w:t>入支出决算总表</w:t>
      </w:r>
      <w:bookmarkEnd w:id="6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2" w:name="_Toc15396620"/>
      <w:r>
        <w:rPr>
          <w:rFonts w:hint="eastAsia" w:ascii="仿宋" w:hAnsi="仿宋" w:eastAsia="仿宋"/>
          <w:b w:val="0"/>
          <w:color w:val="000000"/>
        </w:rPr>
        <w:t>二、收</w:t>
      </w:r>
      <w:r>
        <w:rPr>
          <w:rStyle w:val="22"/>
          <w:rFonts w:hint="eastAsia" w:ascii="仿宋" w:hAnsi="仿宋" w:eastAsia="仿宋"/>
          <w:b w:val="0"/>
          <w:bCs w:val="0"/>
        </w:rPr>
        <w:t>入决算表</w:t>
      </w:r>
      <w:bookmarkEnd w:id="6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3" w:name="_Toc15396621"/>
      <w:r>
        <w:rPr>
          <w:rStyle w:val="22"/>
          <w:rFonts w:hint="eastAsia" w:ascii="仿宋" w:hAnsi="仿宋" w:eastAsia="仿宋"/>
          <w:b w:val="0"/>
          <w:bCs w:val="0"/>
        </w:rPr>
        <w:t>三、</w:t>
      </w:r>
      <w:r>
        <w:rPr>
          <w:rFonts w:hint="eastAsia" w:ascii="仿宋" w:hAnsi="仿宋" w:eastAsia="仿宋"/>
          <w:b w:val="0"/>
          <w:color w:val="000000"/>
        </w:rPr>
        <w:t>支</w:t>
      </w:r>
      <w:r>
        <w:rPr>
          <w:rStyle w:val="22"/>
          <w:rFonts w:hint="eastAsia" w:ascii="仿宋" w:hAnsi="仿宋" w:eastAsia="仿宋"/>
          <w:b w:val="0"/>
          <w:bCs w:val="0"/>
        </w:rPr>
        <w:t>出决算表</w:t>
      </w:r>
      <w:bookmarkEnd w:id="6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b w:val="0"/>
          <w:color w:val="000000"/>
        </w:rPr>
      </w:pPr>
      <w:bookmarkStart w:id="64" w:name="_Toc15396622"/>
      <w:r>
        <w:rPr>
          <w:rStyle w:val="22"/>
          <w:rFonts w:hint="eastAsia" w:ascii="仿宋" w:hAnsi="仿宋" w:eastAsia="仿宋"/>
          <w:b w:val="0"/>
          <w:bCs w:val="0"/>
        </w:rPr>
        <w:t>四、</w:t>
      </w:r>
      <w:r>
        <w:rPr>
          <w:rFonts w:hint="eastAsia" w:ascii="仿宋" w:hAnsi="仿宋" w:eastAsia="仿宋"/>
          <w:b w:val="0"/>
          <w:color w:val="000000"/>
        </w:rPr>
        <w:t>财</w:t>
      </w:r>
      <w:r>
        <w:rPr>
          <w:rStyle w:val="22"/>
          <w:rFonts w:hint="eastAsia" w:ascii="仿宋" w:hAnsi="仿宋" w:eastAsia="仿宋"/>
          <w:b w:val="0"/>
          <w:bCs w:val="0"/>
        </w:rPr>
        <w:t>政拨款收入支出决算总表</w:t>
      </w:r>
      <w:bookmarkEnd w:id="6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2"/>
          <w:rFonts w:ascii="仿宋" w:hAnsi="仿宋" w:eastAsia="仿宋"/>
          <w:b w:val="0"/>
          <w:bCs w:val="0"/>
        </w:rPr>
      </w:pPr>
      <w:bookmarkStart w:id="65" w:name="_Toc15396623"/>
      <w:r>
        <w:rPr>
          <w:rStyle w:val="22"/>
          <w:rFonts w:hint="eastAsia" w:ascii="仿宋" w:hAnsi="仿宋" w:eastAsia="仿宋"/>
          <w:b w:val="0"/>
          <w:bCs w:val="0"/>
        </w:rPr>
        <w:t>五、</w:t>
      </w:r>
      <w:r>
        <w:rPr>
          <w:rFonts w:hint="eastAsia" w:ascii="仿宋" w:hAnsi="仿宋" w:eastAsia="仿宋"/>
          <w:b w:val="0"/>
          <w:color w:val="000000"/>
        </w:rPr>
        <w:t>财</w:t>
      </w:r>
      <w:r>
        <w:rPr>
          <w:rStyle w:val="22"/>
          <w:rFonts w:hint="eastAsia" w:ascii="仿宋" w:hAnsi="仿宋" w:eastAsia="仿宋"/>
          <w:b w:val="0"/>
          <w:bCs w:val="0"/>
        </w:rPr>
        <w:t>政拨款支出决算明细表</w:t>
      </w:r>
      <w:bookmarkEnd w:id="65"/>
      <w:bookmarkStart w:id="66" w:name="_Toc15396624"/>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r>
        <w:rPr>
          <w:rStyle w:val="22"/>
          <w:rFonts w:hint="eastAsia" w:ascii="仿宋" w:hAnsi="仿宋" w:eastAsia="仿宋"/>
          <w:b w:val="0"/>
          <w:bCs w:val="0"/>
        </w:rPr>
        <w:t>六、</w:t>
      </w:r>
      <w:r>
        <w:rPr>
          <w:rFonts w:hint="eastAsia" w:ascii="仿宋" w:hAnsi="仿宋" w:eastAsia="仿宋"/>
          <w:b w:val="0"/>
          <w:color w:val="000000"/>
        </w:rPr>
        <w:t>一</w:t>
      </w:r>
      <w:r>
        <w:rPr>
          <w:rStyle w:val="22"/>
          <w:rFonts w:hint="eastAsia" w:ascii="仿宋" w:hAnsi="仿宋" w:eastAsia="仿宋"/>
          <w:b w:val="0"/>
          <w:bCs w:val="0"/>
        </w:rPr>
        <w:t>般公共预算财政拨款支出决算表</w:t>
      </w:r>
      <w:bookmarkEnd w:id="66"/>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7" w:name="_Toc15396625"/>
      <w:r>
        <w:rPr>
          <w:rStyle w:val="22"/>
          <w:rFonts w:hint="eastAsia" w:ascii="仿宋" w:hAnsi="仿宋" w:eastAsia="仿宋"/>
          <w:b w:val="0"/>
          <w:bCs w:val="0"/>
        </w:rPr>
        <w:t>七、</w:t>
      </w:r>
      <w:r>
        <w:rPr>
          <w:rFonts w:hint="eastAsia" w:ascii="仿宋" w:hAnsi="仿宋" w:eastAsia="仿宋"/>
          <w:b w:val="0"/>
          <w:color w:val="000000"/>
        </w:rPr>
        <w:t>一</w:t>
      </w:r>
      <w:r>
        <w:rPr>
          <w:rStyle w:val="22"/>
          <w:rFonts w:hint="eastAsia" w:ascii="仿宋" w:hAnsi="仿宋" w:eastAsia="仿宋"/>
          <w:b w:val="0"/>
          <w:bCs w:val="0"/>
        </w:rPr>
        <w:t>般公共预算财政拨款支出决算明细表</w:t>
      </w:r>
      <w:bookmarkEnd w:id="67"/>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8" w:name="_Toc15396626"/>
      <w:r>
        <w:rPr>
          <w:rStyle w:val="22"/>
          <w:rFonts w:hint="eastAsia" w:ascii="仿宋" w:hAnsi="仿宋" w:eastAsia="仿宋"/>
          <w:b w:val="0"/>
          <w:bCs w:val="0"/>
        </w:rPr>
        <w:t>八、</w:t>
      </w:r>
      <w:r>
        <w:rPr>
          <w:rFonts w:hint="eastAsia" w:ascii="仿宋" w:hAnsi="仿宋" w:eastAsia="仿宋"/>
          <w:b w:val="0"/>
          <w:color w:val="000000"/>
        </w:rPr>
        <w:t>一</w:t>
      </w:r>
      <w:r>
        <w:rPr>
          <w:rStyle w:val="22"/>
          <w:rFonts w:hint="eastAsia" w:ascii="仿宋" w:hAnsi="仿宋" w:eastAsia="仿宋"/>
          <w:b w:val="0"/>
          <w:bCs w:val="0"/>
        </w:rPr>
        <w:t>般公共预算财政拨款基本支出决算表</w:t>
      </w:r>
      <w:bookmarkEnd w:id="68"/>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69" w:name="_Toc15396627"/>
      <w:r>
        <w:rPr>
          <w:rStyle w:val="22"/>
          <w:rFonts w:hint="eastAsia" w:ascii="仿宋" w:hAnsi="仿宋" w:eastAsia="仿宋"/>
          <w:b w:val="0"/>
          <w:bCs w:val="0"/>
        </w:rPr>
        <w:t>九、</w:t>
      </w:r>
      <w:r>
        <w:rPr>
          <w:rFonts w:hint="eastAsia" w:ascii="仿宋" w:hAnsi="仿宋" w:eastAsia="仿宋"/>
          <w:b w:val="0"/>
          <w:color w:val="000000"/>
        </w:rPr>
        <w:t>一</w:t>
      </w:r>
      <w:r>
        <w:rPr>
          <w:rStyle w:val="22"/>
          <w:rFonts w:hint="eastAsia" w:ascii="仿宋" w:hAnsi="仿宋" w:eastAsia="仿宋"/>
          <w:b w:val="0"/>
          <w:bCs w:val="0"/>
        </w:rPr>
        <w:t>般公共预算财政拨款项目支出决算表</w:t>
      </w:r>
      <w:bookmarkEnd w:id="69"/>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70" w:name="_Toc15396628"/>
      <w:r>
        <w:rPr>
          <w:rStyle w:val="22"/>
          <w:rFonts w:hint="eastAsia" w:ascii="仿宋" w:hAnsi="仿宋" w:eastAsia="仿宋"/>
          <w:b w:val="0"/>
          <w:bCs w:val="0"/>
        </w:rPr>
        <w:t>十、</w:t>
      </w:r>
      <w:r>
        <w:rPr>
          <w:rFonts w:hint="eastAsia" w:ascii="仿宋" w:hAnsi="仿宋" w:eastAsia="仿宋"/>
          <w:b w:val="0"/>
          <w:color w:val="000000"/>
        </w:rPr>
        <w:t>一</w:t>
      </w:r>
      <w:r>
        <w:rPr>
          <w:rStyle w:val="22"/>
          <w:rFonts w:hint="eastAsia" w:ascii="仿宋" w:hAnsi="仿宋" w:eastAsia="仿宋"/>
          <w:b w:val="0"/>
          <w:bCs w:val="0"/>
        </w:rPr>
        <w:t>般公共预算财政拨款“三公”经费支出决算表</w:t>
      </w:r>
      <w:bookmarkEnd w:id="70"/>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71" w:name="_Toc15396629"/>
      <w:r>
        <w:rPr>
          <w:rStyle w:val="22"/>
          <w:rFonts w:hint="eastAsia" w:ascii="仿宋" w:hAnsi="仿宋" w:eastAsia="仿宋"/>
          <w:b w:val="0"/>
          <w:bCs w:val="0"/>
        </w:rPr>
        <w:t>十一、</w:t>
      </w:r>
      <w:r>
        <w:rPr>
          <w:rFonts w:hint="eastAsia" w:ascii="仿宋" w:hAnsi="仿宋" w:eastAsia="仿宋"/>
          <w:b w:val="0"/>
          <w:color w:val="000000"/>
        </w:rPr>
        <w:t>政</w:t>
      </w:r>
      <w:r>
        <w:rPr>
          <w:rStyle w:val="22"/>
          <w:rFonts w:hint="eastAsia" w:ascii="仿宋" w:hAnsi="仿宋" w:eastAsia="仿宋"/>
          <w:b w:val="0"/>
          <w:bCs w:val="0"/>
        </w:rPr>
        <w:t>府性基金预算财政拨款收入支出决算表</w:t>
      </w:r>
      <w:bookmarkEnd w:id="71"/>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Fonts w:ascii="仿宋" w:hAnsi="仿宋" w:eastAsia="仿宋"/>
          <w:color w:val="000000"/>
        </w:rPr>
      </w:pPr>
      <w:bookmarkStart w:id="72" w:name="_Toc15396630"/>
      <w:r>
        <w:rPr>
          <w:rStyle w:val="22"/>
          <w:rFonts w:hint="eastAsia" w:ascii="仿宋" w:hAnsi="仿宋" w:eastAsia="仿宋"/>
          <w:b w:val="0"/>
          <w:bCs w:val="0"/>
        </w:rPr>
        <w:t>十二、</w:t>
      </w:r>
      <w:r>
        <w:rPr>
          <w:rFonts w:hint="eastAsia" w:ascii="仿宋" w:hAnsi="仿宋" w:eastAsia="仿宋"/>
          <w:b w:val="0"/>
          <w:color w:val="000000"/>
        </w:rPr>
        <w:t>政</w:t>
      </w:r>
      <w:r>
        <w:rPr>
          <w:rStyle w:val="22"/>
          <w:rFonts w:hint="eastAsia" w:ascii="仿宋" w:hAnsi="仿宋" w:eastAsia="仿宋"/>
          <w:b w:val="0"/>
          <w:bCs w:val="0"/>
        </w:rPr>
        <w:t>府性基金预算财政拨款“三公”经费支出决算表</w:t>
      </w:r>
      <w:bookmarkEnd w:id="72"/>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2"/>
          <w:rFonts w:hint="eastAsia" w:ascii="仿宋" w:hAnsi="仿宋" w:eastAsia="仿宋"/>
          <w:b w:val="0"/>
          <w:bCs w:val="0"/>
        </w:rPr>
      </w:pPr>
      <w:bookmarkStart w:id="73" w:name="_Toc15396631"/>
      <w:r>
        <w:rPr>
          <w:rStyle w:val="22"/>
          <w:rFonts w:hint="eastAsia" w:ascii="仿宋" w:hAnsi="仿宋" w:eastAsia="仿宋"/>
          <w:b w:val="0"/>
          <w:bCs w:val="0"/>
        </w:rPr>
        <w:t>十三、</w:t>
      </w:r>
      <w:r>
        <w:rPr>
          <w:rFonts w:hint="eastAsia" w:ascii="仿宋" w:hAnsi="仿宋" w:eastAsia="仿宋"/>
          <w:b w:val="0"/>
          <w:color w:val="000000"/>
        </w:rPr>
        <w:t>国</w:t>
      </w:r>
      <w:r>
        <w:rPr>
          <w:rStyle w:val="22"/>
          <w:rFonts w:hint="eastAsia" w:ascii="仿宋" w:hAnsi="仿宋" w:eastAsia="仿宋"/>
          <w:b w:val="0"/>
          <w:bCs w:val="0"/>
        </w:rPr>
        <w:t>有资本经营预算财政拨款</w:t>
      </w:r>
      <w:r>
        <w:rPr>
          <w:rStyle w:val="22"/>
          <w:rFonts w:hint="eastAsia" w:ascii="仿宋" w:hAnsi="仿宋" w:eastAsia="仿宋"/>
          <w:b w:val="0"/>
          <w:bCs w:val="0"/>
          <w:lang w:eastAsia="zh-CN"/>
        </w:rPr>
        <w:t>收入</w:t>
      </w:r>
      <w:r>
        <w:rPr>
          <w:rStyle w:val="22"/>
          <w:rFonts w:hint="eastAsia" w:ascii="仿宋" w:hAnsi="仿宋" w:eastAsia="仿宋"/>
          <w:b w:val="0"/>
          <w:bCs w:val="0"/>
        </w:rPr>
        <w:t>支出决算表</w:t>
      </w:r>
      <w:bookmarkEnd w:id="73"/>
    </w:p>
    <w:p>
      <w:pPr>
        <w:pStyle w:val="3"/>
        <w:keepNext/>
        <w:keepLines/>
        <w:pageBreakBefore w:val="0"/>
        <w:widowControl w:val="0"/>
        <w:kinsoku/>
        <w:wordWrap/>
        <w:overflowPunct/>
        <w:topLinePunct w:val="0"/>
        <w:autoSpaceDE/>
        <w:autoSpaceDN/>
        <w:bidi w:val="0"/>
        <w:adjustRightInd/>
        <w:snapToGrid/>
        <w:spacing w:line="300" w:lineRule="exact"/>
        <w:textAlignment w:val="auto"/>
        <w:outlineLvl w:val="1"/>
        <w:rPr>
          <w:rStyle w:val="22"/>
          <w:rFonts w:hint="eastAsia" w:ascii="仿宋" w:hAnsi="仿宋" w:eastAsia="仿宋"/>
          <w:b w:val="0"/>
          <w:bCs w:val="0"/>
        </w:rPr>
      </w:pPr>
      <w:r>
        <w:rPr>
          <w:rStyle w:val="22"/>
          <w:rFonts w:hint="eastAsia" w:ascii="仿宋" w:hAnsi="仿宋" w:eastAsia="仿宋"/>
          <w:b w:val="0"/>
          <w:bCs w:val="0"/>
          <w:lang w:eastAsia="zh-CN"/>
        </w:rPr>
        <w:t>十四、</w:t>
      </w:r>
      <w:r>
        <w:rPr>
          <w:rFonts w:hint="eastAsia" w:ascii="仿宋" w:hAnsi="仿宋" w:eastAsia="仿宋"/>
          <w:b w:val="0"/>
          <w:color w:val="000000"/>
        </w:rPr>
        <w:t>国</w:t>
      </w:r>
      <w:r>
        <w:rPr>
          <w:rStyle w:val="22"/>
          <w:rFonts w:hint="eastAsia" w:ascii="仿宋" w:hAnsi="仿宋" w:eastAsia="仿宋"/>
          <w:b w:val="0"/>
          <w:bCs w:val="0"/>
        </w:rPr>
        <w:t>有资本经营预算财政拨款支出决算表</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763906"/>
      <w:docPartObj>
        <w:docPartGallery w:val="autotext"/>
      </w:docPartObj>
    </w:sdtPr>
    <w:sdtContent>
      <w:p>
        <w:pPr>
          <w:pStyle w:val="6"/>
          <w:jc w:val="center"/>
        </w:pPr>
        <w:r>
          <w:fldChar w:fldCharType="begin"/>
        </w:r>
        <w:r>
          <w:instrText xml:space="preserve">PAGE   \* MERGEFORMAT</w:instrText>
        </w:r>
        <w:r>
          <w:fldChar w:fldCharType="separate"/>
        </w:r>
        <w:r>
          <w:rPr>
            <w:lang w:val="zh-CN"/>
          </w:rPr>
          <w:t>19</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9E8C2"/>
    <w:multiLevelType w:val="singleLevel"/>
    <w:tmpl w:val="CD39E8C2"/>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4799B972"/>
    <w:multiLevelType w:val="singleLevel"/>
    <w:tmpl w:val="4799B972"/>
    <w:lvl w:ilvl="0" w:tentative="0">
      <w:start w:val="2"/>
      <w:numFmt w:val="chineseCounting"/>
      <w:suff w:val="nothing"/>
      <w:lvlText w:val="（%1）"/>
      <w:lvlJc w:val="left"/>
      <w:rPr>
        <w:rFonts w:hint="eastAsia"/>
      </w:rPr>
    </w:lvl>
  </w:abstractNum>
  <w:abstractNum w:abstractNumId="6">
    <w:nsid w:val="680C5AAE"/>
    <w:multiLevelType w:val="multilevel"/>
    <w:tmpl w:val="680C5AA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87"/>
    <w:rsid w:val="00000056"/>
    <w:rsid w:val="000C42D5"/>
    <w:rsid w:val="000E4C74"/>
    <w:rsid w:val="00140B2C"/>
    <w:rsid w:val="001938AA"/>
    <w:rsid w:val="00273964"/>
    <w:rsid w:val="003A4023"/>
    <w:rsid w:val="00420B17"/>
    <w:rsid w:val="00426D48"/>
    <w:rsid w:val="004530DE"/>
    <w:rsid w:val="004D02F1"/>
    <w:rsid w:val="004D26EA"/>
    <w:rsid w:val="00512407"/>
    <w:rsid w:val="005141DB"/>
    <w:rsid w:val="00565FE3"/>
    <w:rsid w:val="005725BF"/>
    <w:rsid w:val="005E4EAE"/>
    <w:rsid w:val="006208A6"/>
    <w:rsid w:val="00694850"/>
    <w:rsid w:val="006A2FC1"/>
    <w:rsid w:val="006B1FEC"/>
    <w:rsid w:val="00727B54"/>
    <w:rsid w:val="00736F7B"/>
    <w:rsid w:val="00770E71"/>
    <w:rsid w:val="00790F68"/>
    <w:rsid w:val="007A7187"/>
    <w:rsid w:val="007C4769"/>
    <w:rsid w:val="007E6D7D"/>
    <w:rsid w:val="00825D4A"/>
    <w:rsid w:val="00840B0F"/>
    <w:rsid w:val="00846D51"/>
    <w:rsid w:val="008616CC"/>
    <w:rsid w:val="00890314"/>
    <w:rsid w:val="008B25BD"/>
    <w:rsid w:val="008B40D4"/>
    <w:rsid w:val="008D4BD4"/>
    <w:rsid w:val="008E124B"/>
    <w:rsid w:val="00916A1F"/>
    <w:rsid w:val="00923C7C"/>
    <w:rsid w:val="00A44767"/>
    <w:rsid w:val="00AE6CE6"/>
    <w:rsid w:val="00AE7478"/>
    <w:rsid w:val="00AF62CA"/>
    <w:rsid w:val="00B1546C"/>
    <w:rsid w:val="00B907F5"/>
    <w:rsid w:val="00BE6C38"/>
    <w:rsid w:val="00C505FA"/>
    <w:rsid w:val="00C51ADF"/>
    <w:rsid w:val="00D172DC"/>
    <w:rsid w:val="00D259EB"/>
    <w:rsid w:val="00D30986"/>
    <w:rsid w:val="00DB2BD6"/>
    <w:rsid w:val="00DB49B6"/>
    <w:rsid w:val="00DD2DA3"/>
    <w:rsid w:val="00EC2B12"/>
    <w:rsid w:val="00F67B5D"/>
    <w:rsid w:val="00FC7B89"/>
    <w:rsid w:val="00FF3D1F"/>
    <w:rsid w:val="03D31E90"/>
    <w:rsid w:val="0BD45809"/>
    <w:rsid w:val="0C3D0B86"/>
    <w:rsid w:val="11E74698"/>
    <w:rsid w:val="142D7B12"/>
    <w:rsid w:val="15806CBF"/>
    <w:rsid w:val="18A73199"/>
    <w:rsid w:val="19714159"/>
    <w:rsid w:val="19FA5B1D"/>
    <w:rsid w:val="1D8B0121"/>
    <w:rsid w:val="1EED01BC"/>
    <w:rsid w:val="208E524F"/>
    <w:rsid w:val="23842032"/>
    <w:rsid w:val="24EC0CE5"/>
    <w:rsid w:val="25884FEC"/>
    <w:rsid w:val="26F87961"/>
    <w:rsid w:val="2703119C"/>
    <w:rsid w:val="28021754"/>
    <w:rsid w:val="2B2735E8"/>
    <w:rsid w:val="36D01FBE"/>
    <w:rsid w:val="3C2D4205"/>
    <w:rsid w:val="3C3575DF"/>
    <w:rsid w:val="3FAE54AC"/>
    <w:rsid w:val="41C469BC"/>
    <w:rsid w:val="42A10E81"/>
    <w:rsid w:val="47D41300"/>
    <w:rsid w:val="4C234F42"/>
    <w:rsid w:val="50922AAB"/>
    <w:rsid w:val="517B3B7D"/>
    <w:rsid w:val="557047E0"/>
    <w:rsid w:val="575876F9"/>
    <w:rsid w:val="5938535D"/>
    <w:rsid w:val="5B8C7488"/>
    <w:rsid w:val="5E8536C6"/>
    <w:rsid w:val="61853EED"/>
    <w:rsid w:val="643F6C15"/>
    <w:rsid w:val="673021FB"/>
    <w:rsid w:val="6C8E7B1F"/>
    <w:rsid w:val="750A54F7"/>
    <w:rsid w:val="770544BA"/>
    <w:rsid w:val="785765E8"/>
    <w:rsid w:val="7AA53728"/>
    <w:rsid w:val="7D0E188B"/>
    <w:rsid w:val="7D2B08DE"/>
    <w:rsid w:val="7E6D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99"/>
    <w:pPr>
      <w:spacing w:beforeLines="30"/>
    </w:pPr>
    <w:rPr>
      <w:rFonts w:ascii="仿宋_GB2312" w:eastAsia="仿宋_GB2312"/>
      <w:kern w:val="0"/>
      <w:sz w:val="30"/>
    </w:rPr>
  </w:style>
  <w:style w:type="paragraph" w:styleId="5">
    <w:name w:val="Balloon Text"/>
    <w:basedOn w:val="1"/>
    <w:link w:val="19"/>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rPr>
      <w:rFonts w:ascii="仿宋" w:hAnsi="仿宋" w:eastAsia="仿宋"/>
      <w:sz w:val="28"/>
      <w:szCs w:val="2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link w:val="2"/>
    <w:qFormat/>
    <w:uiPriority w:val="9"/>
    <w:rPr>
      <w:rFonts w:ascii="Times New Roman" w:hAnsi="Times New Roman" w:eastAsia="宋体" w:cs="Times New Roman"/>
      <w:b/>
      <w:bCs/>
      <w:kern w:val="44"/>
      <w:sz w:val="44"/>
      <w:szCs w:val="44"/>
    </w:rPr>
  </w:style>
  <w:style w:type="character" w:customStyle="1" w:styleId="15">
    <w:name w:val="标题 2 Char"/>
    <w:basedOn w:val="12"/>
    <w:link w:val="3"/>
    <w:qFormat/>
    <w:uiPriority w:val="9"/>
    <w:rPr>
      <w:rFonts w:asciiTheme="majorHAnsi" w:hAnsiTheme="majorHAnsi" w:eastAsiaTheme="majorEastAsia" w:cstheme="majorBidi"/>
      <w:b/>
      <w:bCs/>
      <w:sz w:val="32"/>
      <w:szCs w:val="32"/>
    </w:rPr>
  </w:style>
  <w:style w:type="paragraph"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18">
    <w:name w:val="正文文本 Char"/>
    <w:basedOn w:val="12"/>
    <w:link w:val="4"/>
    <w:qFormat/>
    <w:uiPriority w:val="99"/>
    <w:rPr>
      <w:rFonts w:ascii="仿宋_GB2312" w:hAnsi="Times New Roman" w:eastAsia="仿宋_GB2312" w:cs="Times New Roman"/>
      <w:kern w:val="0"/>
      <w:sz w:val="30"/>
      <w:szCs w:val="24"/>
    </w:rPr>
  </w:style>
  <w:style w:type="character" w:customStyle="1" w:styleId="19">
    <w:name w:val="批注框文本 Char"/>
    <w:basedOn w:val="12"/>
    <w:link w:val="5"/>
    <w:semiHidden/>
    <w:qFormat/>
    <w:uiPriority w:val="99"/>
    <w:rPr>
      <w:rFonts w:ascii="Times New Roman" w:hAnsi="Times New Roman" w:eastAsia="宋体" w:cs="Times New Roman"/>
      <w:sz w:val="18"/>
      <w:szCs w:val="18"/>
    </w:rPr>
  </w:style>
  <w:style w:type="character" w:customStyle="1" w:styleId="20">
    <w:name w:val="页眉 Char"/>
    <w:basedOn w:val="12"/>
    <w:link w:val="7"/>
    <w:qFormat/>
    <w:uiPriority w:val="99"/>
    <w:rPr>
      <w:rFonts w:ascii="Times New Roman" w:hAnsi="Times New Roman" w:eastAsia="宋体" w:cs="Times New Roman"/>
      <w:sz w:val="18"/>
      <w:szCs w:val="18"/>
    </w:rPr>
  </w:style>
  <w:style w:type="character" w:customStyle="1" w:styleId="21">
    <w:name w:val="页脚 Char"/>
    <w:basedOn w:val="12"/>
    <w:link w:val="6"/>
    <w:qFormat/>
    <w:uiPriority w:val="99"/>
    <w:rPr>
      <w:rFonts w:ascii="Times New Roman" w:hAnsi="Times New Roman" w:eastAsia="宋体" w:cs="Times New Roman"/>
      <w:sz w:val="18"/>
      <w:szCs w:val="18"/>
    </w:rPr>
  </w:style>
  <w:style w:type="character" w:customStyle="1" w:styleId="22">
    <w:name w:val=" Char Char5"/>
    <w:basedOn w:val="12"/>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9779056720631"/>
          <c:y val="0.0623576542096325"/>
          <c:w val="0.794624899107786"/>
          <c:h val="0.847503944390192"/>
        </c:manualLayout>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Sheet1!$A$2:$A$5</c:f>
              <c:strCache>
                <c:ptCount val="4"/>
                <c:pt idx="0">
                  <c:v>收入</c:v>
                </c:pt>
                <c:pt idx="1">
                  <c:v>支出</c:v>
                </c:pt>
              </c:strCache>
            </c:strRef>
          </c:cat>
          <c:val>
            <c:numRef>
              <c:f>Sheet1!$B$2:$B$5</c:f>
              <c:numCache>
                <c:formatCode>General</c:formatCode>
                <c:ptCount val="4"/>
                <c:pt idx="0">
                  <c:v>312.23</c:v>
                </c:pt>
                <c:pt idx="1">
                  <c:v>313.68</c:v>
                </c:pt>
              </c:numCache>
            </c:numRef>
          </c:val>
        </c:ser>
        <c:ser>
          <c:idx val="1"/>
          <c:order val="1"/>
          <c:tx>
            <c:strRef>
              <c:f>Sheet1!$C$1</c:f>
              <c:strCache>
                <c:ptCount val="1"/>
                <c:pt idx="0">
                  <c:v>2020</c:v>
                </c:pt>
              </c:strCache>
            </c:strRef>
          </c:tx>
          <c:spPr>
            <a:solidFill>
              <a:schemeClr val="accent2"/>
            </a:solidFill>
            <a:ln>
              <a:noFill/>
            </a:ln>
            <a:effectLst/>
          </c:spPr>
          <c:invertIfNegative val="0"/>
          <c:dLbls>
            <c:delete val="1"/>
          </c:dLbls>
          <c:cat>
            <c:strRef>
              <c:f>Sheet1!$A$2:$A$5</c:f>
              <c:strCache>
                <c:ptCount val="4"/>
                <c:pt idx="0">
                  <c:v>收入</c:v>
                </c:pt>
                <c:pt idx="1">
                  <c:v>支出</c:v>
                </c:pt>
              </c:strCache>
            </c:strRef>
          </c:cat>
          <c:val>
            <c:numRef>
              <c:f>Sheet1!$C$2:$C$5</c:f>
              <c:numCache>
                <c:formatCode>General</c:formatCode>
                <c:ptCount val="4"/>
                <c:pt idx="0">
                  <c:v>320.85</c:v>
                </c:pt>
                <c:pt idx="1">
                  <c:v>322.21</c:v>
                </c:pt>
              </c:numCache>
            </c:numRef>
          </c:val>
        </c:ser>
        <c:dLbls>
          <c:showLegendKey val="0"/>
          <c:showVal val="0"/>
          <c:showCatName val="0"/>
          <c:showSerName val="0"/>
          <c:showPercent val="0"/>
          <c:showBubbleSize val="0"/>
        </c:dLbls>
        <c:gapWidth val="219"/>
        <c:overlap val="-27"/>
        <c:axId val="206275712"/>
        <c:axId val="206277248"/>
      </c:barChart>
      <c:catAx>
        <c:axId val="20627571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77248"/>
        <c:crosses val="autoZero"/>
        <c:auto val="1"/>
        <c:lblAlgn val="ctr"/>
        <c:lblOffset val="100"/>
        <c:noMultiLvlLbl val="0"/>
      </c:catAx>
      <c:valAx>
        <c:axId val="20627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275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7385">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77460050462574"/>
          <c:y val="0.175468483816014"/>
          <c:w val="0.386879730866275"/>
          <c:h val="0.783645655877343"/>
        </c:manualLayout>
      </c:layout>
      <c:pieChart>
        <c:varyColors val="1"/>
        <c:ser>
          <c:idx val="0"/>
          <c:order val="0"/>
          <c:tx>
            <c:strRef>
              <c:f>Sheet1!$B$1</c:f>
              <c:strCache>
                <c:ptCount val="1"/>
                <c:pt idx="0">
                  <c:v>收入决算结构图</c:v>
                </c:pt>
              </c:strCache>
            </c:strRef>
          </c:tx>
          <c:explosion val="0"/>
          <c:dPt>
            <c:idx val="0"/>
            <c:bubble3D val="0"/>
          </c:dPt>
          <c:dPt>
            <c:idx val="1"/>
            <c:bubble3D val="0"/>
          </c:dPt>
          <c:dPt>
            <c:idx val="2"/>
            <c:bubble3D val="0"/>
          </c:dPt>
          <c:dPt>
            <c:idx val="3"/>
            <c:bubble3D val="0"/>
          </c:dPt>
          <c:dPt>
            <c:idx val="4"/>
            <c:bubble3D val="0"/>
          </c:dPt>
          <c:dPt>
            <c:idx val="5"/>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320.85</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0562703495734433"/>
                  <c:y val="0.007077482610896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100</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Sheet1!$B$2:$B$7</c:f>
              <c:numCache>
                <c:formatCode>General</c:formatCode>
                <c:ptCount val="6"/>
                <c:pt idx="0">
                  <c:v>312.23</c:v>
                </c:pt>
                <c:pt idx="1">
                  <c:v>0</c:v>
                </c:pt>
                <c:pt idx="2">
                  <c:v>0</c:v>
                </c:pt>
                <c:pt idx="3">
                  <c:v>0</c:v>
                </c:pt>
                <c:pt idx="4">
                  <c:v>0</c:v>
                </c:pt>
                <c:pt idx="5">
                  <c:v>0</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Sheet1!$C$2:$C$7</c:f>
              <c:numCache>
                <c:formatCode>General</c:formatCode>
                <c:ptCount val="6"/>
              </c:numCache>
            </c:numRef>
          </c:val>
        </c:ser>
        <c:ser>
          <c:idx val="2"/>
          <c:order val="2"/>
          <c:tx>
            <c:strRef>
              <c:f>Sheet1!$D$1</c:f>
              <c:strCache>
                <c:ptCount val="1"/>
                <c:pt idx="0">
                  <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国有资本经营预算收入</c:v>
                </c:pt>
                <c:pt idx="3">
                  <c:v>事业收入</c:v>
                </c:pt>
                <c:pt idx="4">
                  <c:v>经营收入</c:v>
                </c:pt>
                <c:pt idx="5">
                  <c:v>附属单位上缴收入</c:v>
                </c:pt>
              </c:strCache>
            </c:strRef>
          </c:cat>
          <c:val>
            <c:numRef>
              <c:f>Sheet1!$D$2:$D$7</c:f>
              <c:numCache>
                <c:formatCode>General</c:formatCode>
                <c:ptCount val="6"/>
              </c:numCache>
            </c:numRef>
          </c:val>
        </c:ser>
        <c:dLbls>
          <c:showLegendKey val="0"/>
          <c:showVal val="0"/>
          <c:showCatName val="0"/>
          <c:showSerName val="0"/>
          <c:showPercent val="0"/>
          <c:showBubbleSize val="0"/>
          <c:showLeaderLines val="1"/>
        </c:dLbls>
        <c:firstSliceAng val="0"/>
      </c:pieChart>
      <c:spPr>
        <a:noFill/>
        <a:ln w="27385">
          <a:noFill/>
        </a:ln>
      </c:spPr>
    </c:plotArea>
    <c:legend>
      <c:legendPos val="r"/>
      <c:layout>
        <c:manualLayout>
          <c:xMode val="edge"/>
          <c:yMode val="edge"/>
          <c:x val="0.740958788898234"/>
          <c:y val="0.383304940374788"/>
          <c:w val="0.245584524810765"/>
          <c:h val="0.366269165247019"/>
        </c:manualLayout>
      </c:layout>
      <c:overlay val="0"/>
      <c:spPr>
        <a:noFill/>
        <a:ln w="27385">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支出决算结构图</a:t>
            </a:r>
          </a:p>
        </c:rich>
      </c:tx>
      <c:layout/>
      <c:overlay val="0"/>
    </c:title>
    <c:autoTitleDeleted val="0"/>
    <c:plotArea>
      <c:layout/>
      <c:pieChart>
        <c:varyColors val="1"/>
        <c:ser>
          <c:idx val="0"/>
          <c:order val="0"/>
          <c:tx>
            <c:strRef>
              <c:f>Sheet1!$B$1</c:f>
              <c:strCache>
                <c:ptCount val="1"/>
                <c:pt idx="0">
                  <c:v>支出决算情况</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100%</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3.19%</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strCache>
            </c:strRef>
          </c:cat>
          <c:val>
            <c:numRef>
              <c:f>Sheet1!$B$2:$B$3</c:f>
              <c:numCache>
                <c:formatCode>General</c:formatCode>
                <c:ptCount val="2"/>
                <c:pt idx="0">
                  <c:v>322.21</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9779056720631"/>
          <c:y val="0.0623576542096325"/>
          <c:w val="0.794624899107786"/>
          <c:h val="0.847503944390192"/>
        </c:manualLayout>
      </c:layout>
      <c:barChart>
        <c:barDir val="col"/>
        <c:grouping val="clustered"/>
        <c:varyColors val="0"/>
        <c:ser>
          <c:idx val="0"/>
          <c:order val="0"/>
          <c:tx>
            <c:strRef>
              <c:f>Sheet1!$B$1</c:f>
              <c:strCache>
                <c:ptCount val="1"/>
                <c:pt idx="0">
                  <c:v>2019</c:v>
                </c:pt>
              </c:strCache>
            </c:strRef>
          </c:tx>
          <c:invertIfNegative val="0"/>
          <c:dLbls>
            <c:delete val="1"/>
          </c:dLbls>
          <c:cat>
            <c:strRef>
              <c:f>Sheet1!$A$2:$A$5</c:f>
              <c:strCache>
                <c:ptCount val="4"/>
                <c:pt idx="0">
                  <c:v>收入</c:v>
                </c:pt>
                <c:pt idx="1">
                  <c:v>支出</c:v>
                </c:pt>
              </c:strCache>
            </c:strRef>
          </c:cat>
          <c:val>
            <c:numRef>
              <c:f>Sheet1!$B$2:$B$5</c:f>
              <c:numCache>
                <c:formatCode>General</c:formatCode>
                <c:ptCount val="4"/>
                <c:pt idx="0">
                  <c:v>312.23</c:v>
                </c:pt>
                <c:pt idx="1">
                  <c:v>313.68</c:v>
                </c:pt>
              </c:numCache>
            </c:numRef>
          </c:val>
        </c:ser>
        <c:ser>
          <c:idx val="1"/>
          <c:order val="1"/>
          <c:tx>
            <c:strRef>
              <c:f>Sheet1!$C$1</c:f>
              <c:strCache>
                <c:ptCount val="1"/>
                <c:pt idx="0">
                  <c:v>2020</c:v>
                </c:pt>
              </c:strCache>
            </c:strRef>
          </c:tx>
          <c:invertIfNegative val="0"/>
          <c:dLbls>
            <c:delete val="1"/>
          </c:dLbls>
          <c:cat>
            <c:strRef>
              <c:f>Sheet1!$A$2:$A$5</c:f>
              <c:strCache>
                <c:ptCount val="4"/>
                <c:pt idx="0">
                  <c:v>收入</c:v>
                </c:pt>
                <c:pt idx="1">
                  <c:v>支出</c:v>
                </c:pt>
              </c:strCache>
            </c:strRef>
          </c:cat>
          <c:val>
            <c:numRef>
              <c:f>Sheet1!$C$2:$C$5</c:f>
              <c:numCache>
                <c:formatCode>General</c:formatCode>
                <c:ptCount val="4"/>
                <c:pt idx="0">
                  <c:v>320.85</c:v>
                </c:pt>
                <c:pt idx="1">
                  <c:v>322.21</c:v>
                </c:pt>
              </c:numCache>
            </c:numRef>
          </c:val>
        </c:ser>
        <c:dLbls>
          <c:showLegendKey val="0"/>
          <c:showVal val="0"/>
          <c:showCatName val="0"/>
          <c:showSerName val="0"/>
          <c:showPercent val="0"/>
          <c:showBubbleSize val="0"/>
        </c:dLbls>
        <c:gapWidth val="150"/>
        <c:axId val="206690560"/>
        <c:axId val="206876672"/>
      </c:barChart>
      <c:catAx>
        <c:axId val="206690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876672"/>
        <c:crosses val="autoZero"/>
        <c:auto val="1"/>
        <c:lblAlgn val="ctr"/>
        <c:lblOffset val="100"/>
        <c:noMultiLvlLbl val="0"/>
      </c:catAx>
      <c:valAx>
        <c:axId val="2068766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690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delete val="1"/>
          </c:dLbls>
          <c:cat>
            <c:strRef>
              <c:f>Sheet1!$A$2:$A$5</c:f>
              <c:strCache>
                <c:ptCount val="4"/>
                <c:pt idx="0">
                  <c:v>收入</c:v>
                </c:pt>
                <c:pt idx="1">
                  <c:v>支出</c:v>
                </c:pt>
              </c:strCache>
            </c:strRef>
          </c:cat>
          <c:val>
            <c:numRef>
              <c:f>Sheet1!$B$2:$B$5</c:f>
              <c:numCache>
                <c:formatCode>General</c:formatCode>
                <c:ptCount val="4"/>
                <c:pt idx="0">
                  <c:v>312.23</c:v>
                </c:pt>
                <c:pt idx="1">
                  <c:v>313.68</c:v>
                </c:pt>
              </c:numCache>
            </c:numRef>
          </c:val>
        </c:ser>
        <c:ser>
          <c:idx val="1"/>
          <c:order val="1"/>
          <c:tx>
            <c:strRef>
              <c:f>Sheet1!$C$1</c:f>
              <c:strCache>
                <c:ptCount val="1"/>
                <c:pt idx="0">
                  <c:v>2020年</c:v>
                </c:pt>
              </c:strCache>
            </c:strRef>
          </c:tx>
          <c:invertIfNegative val="0"/>
          <c:dLbls>
            <c:delete val="1"/>
          </c:dLbls>
          <c:cat>
            <c:strRef>
              <c:f>Sheet1!$A$2:$A$5</c:f>
              <c:strCache>
                <c:ptCount val="4"/>
                <c:pt idx="0">
                  <c:v>收入</c:v>
                </c:pt>
                <c:pt idx="1">
                  <c:v>支出</c:v>
                </c:pt>
              </c:strCache>
            </c:strRef>
          </c:cat>
          <c:val>
            <c:numRef>
              <c:f>Sheet1!$C$2:$C$5</c:f>
              <c:numCache>
                <c:formatCode>General</c:formatCode>
                <c:ptCount val="4"/>
                <c:pt idx="0">
                  <c:v>320.85</c:v>
                </c:pt>
                <c:pt idx="1">
                  <c:v>322.21</c:v>
                </c:pt>
              </c:numCache>
            </c:numRef>
          </c:val>
        </c:ser>
        <c:dLbls>
          <c:showLegendKey val="0"/>
          <c:showVal val="0"/>
          <c:showCatName val="0"/>
          <c:showSerName val="0"/>
          <c:showPercent val="0"/>
          <c:showBubbleSize val="0"/>
        </c:dLbls>
        <c:gapWidth val="150"/>
        <c:axId val="207151488"/>
        <c:axId val="207153024"/>
      </c:barChart>
      <c:catAx>
        <c:axId val="2071514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7153024"/>
        <c:crosses val="autoZero"/>
        <c:auto val="1"/>
        <c:lblAlgn val="ctr"/>
        <c:lblOffset val="100"/>
        <c:noMultiLvlLbl val="0"/>
      </c:catAx>
      <c:valAx>
        <c:axId val="2071530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7151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一般公共预算财政拨款支出情况</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82.31</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8.03</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3.25</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317152008407131"/>
                  <c:y val="0.1048757699888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6.41%</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医疗卫生支出</c:v>
                </c:pt>
                <c:pt idx="3">
                  <c:v>住房保障支出</c:v>
                </c:pt>
              </c:strCache>
            </c:strRef>
          </c:cat>
          <c:val>
            <c:numRef>
              <c:f>Sheet1!$B$2:$B$5</c:f>
              <c:numCache>
                <c:formatCode>General</c:formatCode>
                <c:ptCount val="4"/>
                <c:pt idx="0">
                  <c:v>80.87</c:v>
                </c:pt>
                <c:pt idx="1">
                  <c:v>9.87</c:v>
                </c:pt>
                <c:pt idx="2">
                  <c:v>3.22</c:v>
                </c:pt>
                <c:pt idx="3">
                  <c:v>6.04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8133">
          <a:noFill/>
        </a:ln>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40756302521009"/>
          <c:y val="0.228668941979522"/>
          <c:w val="0.415966386554623"/>
          <c:h val="0.675767918088738"/>
        </c:manualLayout>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Pt>
            <c:idx val="3"/>
            <c:bubble3D val="0"/>
          </c:dPt>
          <c:dPt>
            <c:idx val="4"/>
            <c:bubble3D val="0"/>
          </c:dPt>
          <c:dPt>
            <c:idx val="5"/>
            <c:bubble3D val="0"/>
          </c:dPt>
          <c:dLbls>
            <c:dLbl>
              <c:idx val="1"/>
              <c:layout>
                <c:manualLayout>
                  <c:x val="0.0852408519753245"/>
                  <c:y val="0.02210920453467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100</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0.39</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3"/>
                <c:pt idx="0">
                  <c:v>因公出国费支持</c:v>
                </c:pt>
                <c:pt idx="1">
                  <c:v>公务用车购置及运行维护费</c:v>
                </c:pt>
                <c:pt idx="2">
                  <c:v>公务接待费</c:v>
                </c:pt>
              </c:strCache>
            </c:strRef>
          </c:cat>
          <c:val>
            <c:numRef>
              <c:f>Sheet1!$B$2:$B$7</c:f>
              <c:numCache>
                <c:formatCode>General</c:formatCode>
                <c:ptCount val="6"/>
                <c:pt idx="0">
                  <c:v>0</c:v>
                </c:pt>
                <c:pt idx="1">
                  <c:v>0</c:v>
                </c:pt>
                <c:pt idx="2">
                  <c:v>0.39</c:v>
                </c:pt>
              </c:numCache>
            </c:numRef>
          </c:val>
        </c:ser>
        <c:dLbls>
          <c:showLegendKey val="0"/>
          <c:showVal val="0"/>
          <c:showCatName val="0"/>
          <c:showSerName val="0"/>
          <c:showPercent val="0"/>
          <c:showBubbleSize val="0"/>
          <c:showLeaderLines val="1"/>
        </c:dLbls>
        <c:firstSliceAng val="0"/>
      </c:pieChart>
      <c:spPr>
        <a:noFill/>
        <a:ln w="28133">
          <a:noFill/>
        </a:ln>
      </c:spPr>
    </c:plotArea>
    <c:legend>
      <c:legendPos val="r"/>
      <c:layout>
        <c:manualLayout>
          <c:xMode val="edge"/>
          <c:yMode val="edge"/>
          <c:x val="0.696428571428573"/>
          <c:y val="0.383959044368601"/>
          <c:w val="0.28781512605042"/>
          <c:h val="0.366894197952219"/>
        </c:manualLayout>
      </c:layout>
      <c:overlay val="0"/>
      <c:spPr>
        <a:noFill/>
        <a:ln w="28133">
          <a:no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1196</Words>
  <Characters>6818</Characters>
  <Lines>56</Lines>
  <Paragraphs>15</Paragraphs>
  <TotalTime>4</TotalTime>
  <ScaleCrop>false</ScaleCrop>
  <LinksUpToDate>false</LinksUpToDate>
  <CharactersWithSpaces>7999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2020-09-21T08:07:00Z</dcterms:created>
  <dc:creator>xbany</dc:creator>
  <cp:lastModifiedBy>李友波</cp:lastModifiedBy>
  <dcterms:modified xsi:type="dcterms:W3CDTF">2021-10-26T13:17:08Z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4B7A6899C1B04EE98CE4AA2381CC8FA6</vt:lpwstr>
  </property>
</Properties>
</file>